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3229" w14:textId="3709223D" w:rsidR="006B4E5A" w:rsidRDefault="002D3753" w:rsidP="00353670">
      <w:pPr>
        <w:jc w:val="center"/>
      </w:pPr>
      <w:r>
        <w:rPr>
          <w:noProof/>
          <w:color w:val="2B579A"/>
          <w:shd w:val="clear" w:color="auto" w:fill="E6E6E6"/>
        </w:rPr>
        <mc:AlternateContent>
          <mc:Choice Requires="wps">
            <w:drawing>
              <wp:anchor distT="0" distB="0" distL="114300" distR="114300" simplePos="0" relativeHeight="251658240" behindDoc="0" locked="0" layoutInCell="1" allowOverlap="1" wp14:anchorId="4E339E3B" wp14:editId="165385B5">
                <wp:simplePos x="0" y="0"/>
                <wp:positionH relativeFrom="column">
                  <wp:posOffset>-914400</wp:posOffset>
                </wp:positionH>
                <wp:positionV relativeFrom="page">
                  <wp:posOffset>241738</wp:posOffset>
                </wp:positionV>
                <wp:extent cx="7762503" cy="504902"/>
                <wp:effectExtent l="0" t="0" r="0" b="0"/>
                <wp:wrapNone/>
                <wp:docPr id="1633243681" name="Text Box 1633243681" descr="Antibiotic Lock Therapy: Healthcare Workers"/>
                <wp:cNvGraphicFramePr/>
                <a:graphic xmlns:a="http://schemas.openxmlformats.org/drawingml/2006/main">
                  <a:graphicData uri="http://schemas.microsoft.com/office/word/2010/wordprocessingShape">
                    <wps:wsp>
                      <wps:cNvSpPr txBox="1"/>
                      <wps:spPr>
                        <a:xfrm>
                          <a:off x="0" y="0"/>
                          <a:ext cx="7762503" cy="504902"/>
                        </a:xfrm>
                        <a:prstGeom prst="rect">
                          <a:avLst/>
                        </a:prstGeom>
                        <a:noFill/>
                        <a:ln w="6350">
                          <a:noFill/>
                        </a:ln>
                      </wps:spPr>
                      <wps:txbx>
                        <w:txbxContent>
                          <w:p w14:paraId="4DB4D4A5" w14:textId="2CF08E3B" w:rsidR="00FC6B0F" w:rsidRPr="00B54CF7" w:rsidRDefault="00AB28EE" w:rsidP="00AB28EE">
                            <w:pPr>
                              <w:pStyle w:val="Title"/>
                            </w:pPr>
                            <w:r>
                              <w:t>Antibiotic Lock 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E339E3B" id="_x0000_t202" coordsize="21600,21600" o:spt="202" path="m,l,21600r21600,l21600,xe">
                <v:stroke joinstyle="miter"/>
                <v:path gradientshapeok="t" o:connecttype="rect"/>
              </v:shapetype>
              <v:shape id="Text Box 1633243681" o:spid="_x0000_s1026" type="#_x0000_t202" alt="Antibiotic Lock Therapy: Healthcare Workers" style="position:absolute;left:0;text-align:left;margin-left:-1in;margin-top:19.05pt;width:611.2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" filled="f" stroked="f" strokeweight=".5pt">
                <v:textbox>
                  <w:txbxContent>
                    <w:p w14:paraId="4DB4D4A5" w14:textId="2CF08E3B" w:rsidR="00FC6B0F" w:rsidRPr="00B54CF7" w:rsidRDefault="00AB28EE" w:rsidP="00AB28EE">
                      <w:pPr>
                        <w:pStyle w:val="Title"/>
                      </w:pPr>
                      <w:r>
                        <w:t>Antibiotic</w:t>
                      </w:r>
                      <w:r>
                        <w:rPr>
                          <w:rStyle w:val="CommentReference"/>
                        </w:rPr>
                        <w:annotationRef/>
                      </w:r>
                      <w:r>
                        <w:t xml:space="preserve"> Lock Therapy</w:t>
                      </w:r>
                    </w:p>
                  </w:txbxContent>
                </v:textbox>
                <w10:wrap anchory="page"/>
              </v:shape>
            </w:pict>
          </mc:Fallback>
        </mc:AlternateContent>
      </w:r>
    </w:p>
    <w:p w14:paraId="601CF6E2" w14:textId="77777777" w:rsidR="00353670" w:rsidRDefault="00353670" w:rsidP="00AB28EE">
      <w:pPr>
        <w:pStyle w:val="emphasistext"/>
      </w:pPr>
    </w:p>
    <w:p w14:paraId="4054801D" w14:textId="56A05656" w:rsidR="00DC44AD" w:rsidRPr="00C3155B" w:rsidRDefault="00DC44AD" w:rsidP="00AB28EE">
      <w:pPr>
        <w:pStyle w:val="emphasistext"/>
        <w:rPr>
          <w:sz w:val="21"/>
          <w:szCs w:val="21"/>
        </w:rPr>
      </w:pPr>
      <w:r w:rsidRPr="00C3155B">
        <w:rPr>
          <w:sz w:val="21"/>
          <w:szCs w:val="21"/>
        </w:rPr>
        <w:t>BACKGROUND:</w:t>
      </w:r>
    </w:p>
    <w:p w14:paraId="04C3AE1C" w14:textId="4E6251CF" w:rsidR="00DC44AD" w:rsidRPr="006E1807" w:rsidRDefault="00DC44AD" w:rsidP="00AB28EE">
      <w:pPr>
        <w:pStyle w:val="BodyText"/>
        <w:rPr>
          <w:rFonts w:ascii="Calibri Light" w:hAnsi="Calibri Light" w:cs="Calibri Light"/>
          <w:sz w:val="21"/>
          <w:szCs w:val="21"/>
        </w:rPr>
      </w:pPr>
      <w:r w:rsidRPr="00C3155B">
        <w:rPr>
          <w:sz w:val="21"/>
          <w:szCs w:val="21"/>
        </w:rPr>
        <w:t>Antibiotic lock therapy has been used for the management of some catheter-related infections.</w:t>
      </w:r>
      <w:sdt>
        <w:sdtPr>
          <w:rPr>
            <w:color w:val="000000"/>
            <w:sz w:val="21"/>
            <w:szCs w:val="21"/>
            <w:shd w:val="clear" w:color="auto" w:fill="E6E6E6"/>
            <w:vertAlign w:val="superscript"/>
          </w:rPr>
          <w:tag w:val="MENDELEY_CITATION_v3_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"/>
          <w:id w:val="-1336136473"/>
          <w:placeholder>
            <w:docPart w:val="DefaultPlaceholder_-1854013440"/>
          </w:placeholder>
        </w:sdtPr>
        <w:sdtEndPr/>
        <w:sdtContent>
          <w:r w:rsidR="00AF2E29" w:rsidRPr="00C3155B">
            <w:rPr>
              <w:color w:val="000000"/>
              <w:sz w:val="21"/>
              <w:szCs w:val="21"/>
              <w:vertAlign w:val="superscript"/>
            </w:rPr>
            <w:t>1</w:t>
          </w:r>
        </w:sdtContent>
      </w:sdt>
      <w:r w:rsidRPr="00C3155B">
        <w:rPr>
          <w:sz w:val="21"/>
          <w:szCs w:val="21"/>
        </w:rPr>
        <w:t xml:space="preserve"> These should be </w:t>
      </w:r>
      <w:r w:rsidRPr="006E1807">
        <w:rPr>
          <w:rFonts w:ascii="Calibri Light" w:hAnsi="Calibri Light" w:cs="Calibri Light"/>
          <w:sz w:val="21"/>
          <w:szCs w:val="21"/>
        </w:rPr>
        <w:t xml:space="preserve">considered in patients with a central line-associated bloodstream infection (CLABSI) or other catheter-related bloodstream infection (CRBSI) in whom the catheter is to be maintained. The best option is typically to remove the catheter and place a new one, but there are populations </w:t>
      </w:r>
      <w:r w:rsidR="00C62909">
        <w:rPr>
          <w:rFonts w:ascii="Calibri Light" w:hAnsi="Calibri Light" w:cs="Calibri Light"/>
          <w:sz w:val="21"/>
          <w:szCs w:val="21"/>
        </w:rPr>
        <w:t>with limited</w:t>
      </w:r>
      <w:r w:rsidRPr="006E1807">
        <w:rPr>
          <w:rFonts w:ascii="Calibri Light" w:hAnsi="Calibri Light" w:cs="Calibri Light"/>
          <w:sz w:val="21"/>
          <w:szCs w:val="21"/>
        </w:rPr>
        <w:t xml:space="preserve"> vascular access sites. </w:t>
      </w:r>
    </w:p>
    <w:p w14:paraId="3D5D1AA9" w14:textId="77777777" w:rsidR="00FF1556" w:rsidRPr="006E1807" w:rsidRDefault="00FF1556" w:rsidP="00AB28EE">
      <w:pPr>
        <w:pStyle w:val="BodyText"/>
        <w:rPr>
          <w:rFonts w:ascii="Calibri Light" w:hAnsi="Calibri Light" w:cs="Calibri Light"/>
          <w:sz w:val="21"/>
          <w:szCs w:val="21"/>
        </w:rPr>
      </w:pPr>
    </w:p>
    <w:p w14:paraId="61FB1CEB" w14:textId="77777777" w:rsidR="00DC44AD" w:rsidRPr="006E1807" w:rsidRDefault="00DC44AD" w:rsidP="00AB28EE">
      <w:pPr>
        <w:pStyle w:val="BodyText"/>
        <w:rPr>
          <w:rFonts w:ascii="Calibri Light" w:hAnsi="Calibri Light" w:cs="Calibri Light"/>
          <w:sz w:val="21"/>
          <w:szCs w:val="21"/>
        </w:rPr>
      </w:pPr>
      <w:r w:rsidRPr="006E1807">
        <w:rPr>
          <w:rFonts w:ascii="Calibri Light" w:hAnsi="Calibri Light" w:cs="Calibri Light"/>
          <w:sz w:val="21"/>
          <w:szCs w:val="21"/>
        </w:rPr>
        <w:t>If you are using antibiotic lock therapy to treat a CLABSI or CRBSI, make sure that systemic antibiotics are also infused through the catheter.</w:t>
      </w:r>
    </w:p>
    <w:p w14:paraId="0B3A2A9A" w14:textId="77777777" w:rsidR="00FF1556" w:rsidRPr="006E1807" w:rsidRDefault="00FF1556" w:rsidP="00AB28EE">
      <w:pPr>
        <w:pStyle w:val="BodyText"/>
        <w:rPr>
          <w:rFonts w:ascii="Calibri Light" w:hAnsi="Calibri Light" w:cs="Calibri Light"/>
          <w:sz w:val="21"/>
          <w:szCs w:val="21"/>
        </w:rPr>
      </w:pPr>
    </w:p>
    <w:p w14:paraId="47C9DCED" w14:textId="6C165D86" w:rsidR="00AB28EE" w:rsidRPr="006E1807" w:rsidRDefault="00DC44AD" w:rsidP="00353670">
      <w:pPr>
        <w:pStyle w:val="BodyText"/>
        <w:rPr>
          <w:rFonts w:ascii="Calibri Light" w:hAnsi="Calibri Light" w:cs="Calibri Light"/>
          <w:color w:val="000000"/>
          <w:sz w:val="21"/>
          <w:szCs w:val="21"/>
          <w:shd w:val="clear" w:color="auto" w:fill="E6E6E6"/>
          <w:vertAlign w:val="superscript"/>
        </w:rPr>
      </w:pPr>
      <w:r w:rsidRPr="006E1807">
        <w:rPr>
          <w:rFonts w:ascii="Calibri Light" w:hAnsi="Calibri Light" w:cs="Calibri Light"/>
          <w:sz w:val="21"/>
          <w:szCs w:val="21"/>
        </w:rPr>
        <w:t>Antibiotic lock therapy is best studied in coagulase-negative Staphylococci</w:t>
      </w:r>
      <w:r w:rsidR="00510B3A" w:rsidRPr="006E1807">
        <w:rPr>
          <w:rFonts w:ascii="Calibri Light" w:hAnsi="Calibri Light" w:cs="Calibri Light"/>
          <w:sz w:val="21"/>
          <w:szCs w:val="21"/>
        </w:rPr>
        <w:t xml:space="preserve"> infection</w:t>
      </w:r>
      <w:r w:rsidRPr="006E1807">
        <w:rPr>
          <w:rFonts w:ascii="Calibri Light" w:hAnsi="Calibri Light" w:cs="Calibri Light"/>
          <w:sz w:val="21"/>
          <w:szCs w:val="21"/>
        </w:rPr>
        <w:t xml:space="preserve">. </w:t>
      </w:r>
      <w:r w:rsidRPr="006E1807">
        <w:rPr>
          <w:rFonts w:ascii="Calibri Light" w:hAnsi="Calibri Light" w:cs="Calibri Light"/>
          <w:i/>
          <w:sz w:val="21"/>
          <w:szCs w:val="21"/>
        </w:rPr>
        <w:t>Staphylococcus aureus</w:t>
      </w:r>
      <w:r w:rsidRPr="006E1807">
        <w:rPr>
          <w:rFonts w:ascii="Calibri Light" w:hAnsi="Calibri Light" w:cs="Calibri Light"/>
          <w:sz w:val="21"/>
          <w:szCs w:val="21"/>
        </w:rPr>
        <w:t xml:space="preserve"> and Candida or yeast infections should be treated with</w:t>
      </w:r>
      <w:r w:rsidR="00510B3A" w:rsidRPr="006E1807">
        <w:rPr>
          <w:rFonts w:ascii="Calibri Light" w:hAnsi="Calibri Light" w:cs="Calibri Light"/>
          <w:sz w:val="21"/>
          <w:szCs w:val="21"/>
        </w:rPr>
        <w:t xml:space="preserve"> catheter</w:t>
      </w:r>
      <w:r w:rsidRPr="006E1807">
        <w:rPr>
          <w:rFonts w:ascii="Calibri Light" w:hAnsi="Calibri Light" w:cs="Calibri Light"/>
          <w:sz w:val="21"/>
          <w:szCs w:val="21"/>
        </w:rPr>
        <w:t xml:space="preserve"> removal and NOT with antibiotic lock therapy.</w:t>
      </w:r>
      <w:sdt>
        <w:sdtPr>
          <w:rPr>
            <w:rFonts w:ascii="Calibri Light" w:hAnsi="Calibri Light" w:cs="Calibri Light"/>
            <w:color w:val="000000"/>
            <w:sz w:val="21"/>
            <w:szCs w:val="21"/>
            <w:shd w:val="clear" w:color="auto" w:fill="E6E6E6"/>
            <w:vertAlign w:val="superscript"/>
          </w:rPr>
          <w:tag w:val="MENDELEY_CITATION_v3_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"/>
          <w:id w:val="631525341"/>
          <w:placeholder>
            <w:docPart w:val="DefaultPlaceholder_-1854013440"/>
          </w:placeholder>
        </w:sdtPr>
        <w:sdtEndPr/>
        <w:sdtContent>
          <w:r w:rsidR="00AF2E29" w:rsidRPr="006E1807">
            <w:rPr>
              <w:rFonts w:ascii="Calibri Light" w:hAnsi="Calibri Light" w:cs="Calibri Light"/>
              <w:color w:val="000000"/>
              <w:sz w:val="21"/>
              <w:szCs w:val="21"/>
              <w:vertAlign w:val="superscript"/>
            </w:rPr>
            <w:t>1</w:t>
          </w:r>
        </w:sdtContent>
      </w:sdt>
    </w:p>
    <w:p w14:paraId="5C2B5EBC" w14:textId="77777777" w:rsidR="00FF1556" w:rsidRPr="006E1807" w:rsidRDefault="00FF1556" w:rsidP="00353670">
      <w:pPr>
        <w:pStyle w:val="BodyText"/>
        <w:rPr>
          <w:rFonts w:ascii="Calibri Light" w:hAnsi="Calibri Light" w:cs="Calibri Light"/>
          <w:sz w:val="21"/>
          <w:szCs w:val="21"/>
        </w:rPr>
      </w:pPr>
    </w:p>
    <w:p w14:paraId="58EDD85A" w14:textId="62FE1072" w:rsidR="00DC44AD" w:rsidRPr="006E1807" w:rsidRDefault="00DC44AD" w:rsidP="00061E27">
      <w:pPr>
        <w:pStyle w:val="emphasistext"/>
        <w:rPr>
          <w:rFonts w:ascii="Calibri Light" w:hAnsi="Calibri Light" w:cs="Calibri Light"/>
          <w:sz w:val="21"/>
          <w:szCs w:val="21"/>
        </w:rPr>
      </w:pPr>
      <w:r w:rsidRPr="006E1807">
        <w:rPr>
          <w:rFonts w:ascii="Calibri Light" w:hAnsi="Calibri Light" w:cs="Calibri Light"/>
          <w:sz w:val="21"/>
          <w:szCs w:val="21"/>
        </w:rPr>
        <w:t>Exclusion criteria:</w:t>
      </w:r>
    </w:p>
    <w:p w14:paraId="3791C971" w14:textId="55060DB0" w:rsidR="00DC44AD" w:rsidRPr="006E1807" w:rsidRDefault="00DC44AD" w:rsidP="00E51CF6">
      <w:pPr>
        <w:pStyle w:val="1stbullet"/>
        <w:rPr>
          <w:rFonts w:ascii="Calibri Light" w:hAnsi="Calibri Light" w:cs="Calibri Light"/>
          <w:sz w:val="21"/>
          <w:szCs w:val="21"/>
        </w:rPr>
      </w:pPr>
      <w:r w:rsidRPr="006E1807">
        <w:rPr>
          <w:rFonts w:ascii="Calibri Light" w:hAnsi="Calibri Light" w:cs="Calibri Light"/>
          <w:sz w:val="21"/>
          <w:szCs w:val="21"/>
        </w:rPr>
        <w:t>Exit site</w:t>
      </w:r>
      <w:r w:rsidR="00510B3A" w:rsidRPr="006E1807">
        <w:rPr>
          <w:rFonts w:ascii="Calibri Light" w:hAnsi="Calibri Light" w:cs="Calibri Light"/>
          <w:sz w:val="21"/>
          <w:szCs w:val="21"/>
        </w:rPr>
        <w:t xml:space="preserve"> or tunnel</w:t>
      </w:r>
      <w:r w:rsidRPr="006E1807">
        <w:rPr>
          <w:rFonts w:ascii="Calibri Light" w:hAnsi="Calibri Light" w:cs="Calibri Light"/>
          <w:sz w:val="21"/>
          <w:szCs w:val="21"/>
        </w:rPr>
        <w:t xml:space="preserve"> infection </w:t>
      </w:r>
    </w:p>
    <w:p w14:paraId="174DBAE1" w14:textId="77777777" w:rsidR="00DC44AD" w:rsidRPr="006E1807" w:rsidRDefault="00DC44AD" w:rsidP="00E51CF6">
      <w:pPr>
        <w:pStyle w:val="1stbullet"/>
        <w:rPr>
          <w:rFonts w:ascii="Calibri Light" w:hAnsi="Calibri Light" w:cs="Calibri Light"/>
          <w:sz w:val="21"/>
          <w:szCs w:val="21"/>
        </w:rPr>
      </w:pPr>
      <w:r w:rsidRPr="006E1807">
        <w:rPr>
          <w:rFonts w:ascii="Calibri Light" w:hAnsi="Calibri Light" w:cs="Calibri Light"/>
          <w:i/>
          <w:iCs/>
          <w:sz w:val="21"/>
          <w:szCs w:val="21"/>
        </w:rPr>
        <w:t>Staphylococcus aureus</w:t>
      </w:r>
      <w:r w:rsidRPr="006E1807">
        <w:rPr>
          <w:rFonts w:ascii="Calibri Light" w:hAnsi="Calibri Light" w:cs="Calibri Light"/>
          <w:sz w:val="21"/>
          <w:szCs w:val="21"/>
        </w:rPr>
        <w:t xml:space="preserve"> infections</w:t>
      </w:r>
    </w:p>
    <w:p w14:paraId="1C06FE91" w14:textId="36E11498" w:rsidR="00DC44AD" w:rsidRPr="006E1807" w:rsidRDefault="00DC44AD" w:rsidP="00E51CF6">
      <w:pPr>
        <w:pStyle w:val="1stbullet"/>
        <w:rPr>
          <w:rFonts w:ascii="Calibri Light" w:hAnsi="Calibri Light" w:cs="Calibri Light"/>
          <w:sz w:val="21"/>
          <w:szCs w:val="21"/>
        </w:rPr>
      </w:pPr>
      <w:r w:rsidRPr="006E1807">
        <w:rPr>
          <w:rFonts w:ascii="Calibri Light" w:hAnsi="Calibri Light" w:cs="Calibri Light"/>
          <w:sz w:val="21"/>
          <w:szCs w:val="21"/>
        </w:rPr>
        <w:t>Candida or</w:t>
      </w:r>
      <w:r w:rsidR="003520A6" w:rsidRPr="006E1807">
        <w:rPr>
          <w:rFonts w:ascii="Calibri Light" w:hAnsi="Calibri Light" w:cs="Calibri Light"/>
          <w:sz w:val="21"/>
          <w:szCs w:val="21"/>
        </w:rPr>
        <w:t xml:space="preserve"> </w:t>
      </w:r>
      <w:r w:rsidR="00B81ECF" w:rsidRPr="006E1807">
        <w:rPr>
          <w:rFonts w:ascii="Calibri Light" w:hAnsi="Calibri Light" w:cs="Calibri Light"/>
          <w:sz w:val="21"/>
          <w:szCs w:val="21"/>
        </w:rPr>
        <w:t>other</w:t>
      </w:r>
      <w:r w:rsidRPr="006E1807">
        <w:rPr>
          <w:rFonts w:ascii="Calibri Light" w:hAnsi="Calibri Light" w:cs="Calibri Light"/>
          <w:sz w:val="21"/>
          <w:szCs w:val="21"/>
        </w:rPr>
        <w:t xml:space="preserve"> yeast infection</w:t>
      </w:r>
    </w:p>
    <w:p w14:paraId="5360B653" w14:textId="77777777" w:rsidR="00DC44AD" w:rsidRPr="006E1807" w:rsidRDefault="00DC44AD" w:rsidP="00E51CF6">
      <w:pPr>
        <w:pStyle w:val="1stbullet"/>
        <w:rPr>
          <w:rFonts w:ascii="Calibri Light" w:hAnsi="Calibri Light" w:cs="Calibri Light"/>
          <w:sz w:val="21"/>
          <w:szCs w:val="21"/>
        </w:rPr>
      </w:pPr>
      <w:r w:rsidRPr="006E1807">
        <w:rPr>
          <w:rFonts w:ascii="Calibri Light" w:hAnsi="Calibri Light" w:cs="Calibri Light"/>
          <w:sz w:val="21"/>
          <w:szCs w:val="21"/>
        </w:rPr>
        <w:t>Cannot withdraw lock solution from catheter</w:t>
      </w:r>
    </w:p>
    <w:p w14:paraId="403F6A17" w14:textId="77777777" w:rsidR="00DC44AD" w:rsidRPr="006E1807" w:rsidRDefault="00DC44AD" w:rsidP="00E51CF6">
      <w:pPr>
        <w:pStyle w:val="1stbullet"/>
        <w:rPr>
          <w:rFonts w:ascii="Calibri Light" w:hAnsi="Calibri Light" w:cs="Calibri Light"/>
          <w:sz w:val="21"/>
          <w:szCs w:val="21"/>
        </w:rPr>
      </w:pPr>
      <w:r w:rsidRPr="006E1807">
        <w:rPr>
          <w:rFonts w:ascii="Calibri Light" w:hAnsi="Calibri Light" w:cs="Calibri Light"/>
          <w:sz w:val="21"/>
          <w:szCs w:val="21"/>
        </w:rPr>
        <w:t>History of heparin-induced thrombocytopenia or other contraindications to heparin</w:t>
      </w:r>
    </w:p>
    <w:p w14:paraId="50EA9301" w14:textId="1DEC603F" w:rsidR="00061E27" w:rsidRPr="006E1807" w:rsidRDefault="00DC44AD" w:rsidP="00E51CF6">
      <w:pPr>
        <w:pStyle w:val="1stbullet"/>
        <w:rPr>
          <w:rFonts w:ascii="Calibri Light" w:hAnsi="Calibri Light" w:cs="Calibri Light"/>
          <w:sz w:val="21"/>
          <w:szCs w:val="21"/>
        </w:rPr>
      </w:pPr>
      <w:r w:rsidRPr="006E1807">
        <w:rPr>
          <w:rFonts w:ascii="Calibri Light" w:hAnsi="Calibri Light" w:cs="Calibri Light"/>
          <w:sz w:val="21"/>
          <w:szCs w:val="21"/>
        </w:rPr>
        <w:t>Allergy to antibiotic</w:t>
      </w:r>
    </w:p>
    <w:p w14:paraId="33994E3E" w14:textId="5025B055" w:rsidR="00DC44AD" w:rsidRPr="006E1807" w:rsidRDefault="00DC44AD" w:rsidP="00061E27">
      <w:pPr>
        <w:pStyle w:val="emphasistext"/>
        <w:rPr>
          <w:rFonts w:ascii="Calibri Light" w:hAnsi="Calibri Light" w:cs="Calibri Light"/>
          <w:sz w:val="21"/>
          <w:szCs w:val="21"/>
        </w:rPr>
      </w:pPr>
      <w:r w:rsidRPr="006E1807">
        <w:rPr>
          <w:rFonts w:ascii="Calibri Light" w:hAnsi="Calibri Light" w:cs="Calibri Light"/>
          <w:sz w:val="21"/>
          <w:szCs w:val="21"/>
        </w:rPr>
        <w:t xml:space="preserve">Procedure: </w:t>
      </w:r>
    </w:p>
    <w:p w14:paraId="1B5B793E" w14:textId="77777777" w:rsidR="00DC44AD" w:rsidRPr="006E1807" w:rsidRDefault="00DC44AD" w:rsidP="001D41AC">
      <w:pPr>
        <w:pStyle w:val="BodyText"/>
        <w:ind w:right="-450"/>
        <w:rPr>
          <w:rFonts w:ascii="Calibri Light" w:hAnsi="Calibri Light" w:cs="Calibri Light"/>
          <w:sz w:val="21"/>
          <w:szCs w:val="21"/>
        </w:rPr>
      </w:pPr>
      <w:r w:rsidRPr="006E1807">
        <w:rPr>
          <w:rFonts w:ascii="Calibri Light" w:hAnsi="Calibri Light" w:cs="Calibri Light"/>
          <w:sz w:val="21"/>
          <w:szCs w:val="21"/>
        </w:rPr>
        <w:t>Do not inject the antibiotic lock solution systemically. Always withdraw the antibiotic lock solution first. Do not use the catheter for other infusions without withdrawing the antibiotic lock solution first.</w:t>
      </w:r>
    </w:p>
    <w:p w14:paraId="5DB1615C" w14:textId="77777777" w:rsidR="00510B3A" w:rsidRPr="006E1807" w:rsidRDefault="00510B3A" w:rsidP="00353670">
      <w:pPr>
        <w:pStyle w:val="BodyText"/>
        <w:rPr>
          <w:rFonts w:ascii="Calibri Light" w:hAnsi="Calibri Light" w:cs="Calibri Light"/>
          <w:sz w:val="21"/>
          <w:szCs w:val="21"/>
        </w:rPr>
      </w:pPr>
    </w:p>
    <w:p w14:paraId="0041148A" w14:textId="7D27225E" w:rsidR="00DC44AD" w:rsidRPr="006E1807" w:rsidRDefault="00DC44AD" w:rsidP="00353670">
      <w:pPr>
        <w:pStyle w:val="BodyText"/>
        <w:rPr>
          <w:rFonts w:ascii="Calibri Light" w:hAnsi="Calibri Light" w:cs="Calibri Light"/>
          <w:sz w:val="21"/>
          <w:szCs w:val="21"/>
        </w:rPr>
      </w:pPr>
      <w:r w:rsidRPr="006E1807">
        <w:rPr>
          <w:rFonts w:ascii="Calibri Light" w:hAnsi="Calibri Light" w:cs="Calibri Light"/>
          <w:sz w:val="21"/>
          <w:szCs w:val="21"/>
        </w:rPr>
        <w:t>Provide antibiotic lock therapy with systemic antibiotics delivered through the catheter for the prescribed duration.</w:t>
      </w:r>
      <w:r w:rsidR="00510B3A" w:rsidRPr="006E1807">
        <w:rPr>
          <w:rFonts w:ascii="Calibri Light" w:hAnsi="Calibri Light" w:cs="Calibri Light"/>
          <w:sz w:val="21"/>
          <w:szCs w:val="21"/>
        </w:rPr>
        <w:t xml:space="preserve"> </w:t>
      </w:r>
      <w:r w:rsidRPr="006E1807">
        <w:rPr>
          <w:rFonts w:ascii="Calibri Light" w:hAnsi="Calibri Light" w:cs="Calibri Light"/>
          <w:sz w:val="21"/>
          <w:szCs w:val="21"/>
        </w:rPr>
        <w:t>Dwell times range from 4-</w:t>
      </w:r>
      <w:r w:rsidR="00B4138D" w:rsidRPr="006E1807">
        <w:rPr>
          <w:rFonts w:ascii="Calibri Light" w:hAnsi="Calibri Light" w:cs="Calibri Light"/>
          <w:sz w:val="21"/>
          <w:szCs w:val="21"/>
        </w:rPr>
        <w:t>24</w:t>
      </w:r>
      <w:r w:rsidRPr="006E1807">
        <w:rPr>
          <w:rFonts w:ascii="Calibri Light" w:hAnsi="Calibri Light" w:cs="Calibri Light"/>
          <w:sz w:val="21"/>
          <w:szCs w:val="21"/>
        </w:rPr>
        <w:t xml:space="preserve"> hours. </w:t>
      </w:r>
    </w:p>
    <w:p w14:paraId="0DA1A8D5" w14:textId="77777777" w:rsidR="00510B3A" w:rsidRPr="006E1807" w:rsidRDefault="00510B3A" w:rsidP="00353670">
      <w:pPr>
        <w:pStyle w:val="BodyText"/>
        <w:rPr>
          <w:rFonts w:ascii="Calibri Light" w:hAnsi="Calibri Light" w:cs="Calibri Light"/>
          <w:sz w:val="21"/>
          <w:szCs w:val="21"/>
        </w:rPr>
      </w:pPr>
    </w:p>
    <w:p w14:paraId="5BBD9460" w14:textId="615E7B37" w:rsidR="00DC44AD" w:rsidRPr="006E1807" w:rsidRDefault="00DC44AD" w:rsidP="00353670">
      <w:pPr>
        <w:pStyle w:val="BodyText"/>
        <w:rPr>
          <w:rFonts w:ascii="Calibri Light" w:hAnsi="Calibri Light" w:cs="Calibri Light"/>
          <w:sz w:val="21"/>
          <w:szCs w:val="21"/>
        </w:rPr>
      </w:pPr>
      <w:r w:rsidRPr="006E1807">
        <w:rPr>
          <w:rFonts w:ascii="Calibri Light" w:hAnsi="Calibri Light" w:cs="Calibri Light"/>
          <w:sz w:val="21"/>
          <w:szCs w:val="21"/>
        </w:rPr>
        <w:t xml:space="preserve">The volume of the antibiotic lock solution is </w:t>
      </w:r>
      <w:r w:rsidR="006B1AF9" w:rsidRPr="006E1807">
        <w:rPr>
          <w:rFonts w:ascii="Calibri Light" w:hAnsi="Calibri Light" w:cs="Calibri Light"/>
          <w:sz w:val="21"/>
          <w:szCs w:val="21"/>
        </w:rPr>
        <w:t>3</w:t>
      </w:r>
      <w:r w:rsidRPr="006E1807">
        <w:rPr>
          <w:rFonts w:ascii="Calibri Light" w:hAnsi="Calibri Light" w:cs="Calibri Light"/>
          <w:sz w:val="21"/>
          <w:szCs w:val="21"/>
        </w:rPr>
        <w:t>ml in each lumen of the catheter.</w:t>
      </w:r>
    </w:p>
    <w:p w14:paraId="0255687F" w14:textId="77777777" w:rsidR="00510B3A" w:rsidRPr="006E1807" w:rsidRDefault="00510B3A" w:rsidP="00353670">
      <w:pPr>
        <w:pStyle w:val="BodyText"/>
        <w:rPr>
          <w:rFonts w:ascii="Calibri Light" w:hAnsi="Calibri Light" w:cs="Calibri Light"/>
          <w:sz w:val="21"/>
          <w:szCs w:val="21"/>
        </w:rPr>
      </w:pPr>
    </w:p>
    <w:p w14:paraId="6920ABE4" w14:textId="2C3F2733" w:rsidR="00DC44AD" w:rsidRPr="006E1807" w:rsidRDefault="00DC44AD" w:rsidP="006E1807">
      <w:pPr>
        <w:pStyle w:val="BodyText"/>
        <w:rPr>
          <w:rFonts w:ascii="Calibri Light" w:hAnsi="Calibri Light" w:cs="Calibri Light"/>
          <w:sz w:val="21"/>
          <w:szCs w:val="21"/>
        </w:rPr>
      </w:pPr>
      <w:r w:rsidRPr="006E1807">
        <w:rPr>
          <w:rFonts w:ascii="Calibri Light" w:hAnsi="Calibri Light" w:cs="Calibri Light"/>
          <w:b/>
          <w:bCs/>
          <w:sz w:val="21"/>
          <w:szCs w:val="21"/>
        </w:rPr>
        <w:t>Perform the following steps in each lumen of the catheter.:</w:t>
      </w:r>
      <w:sdt>
        <w:sdtPr>
          <w:rPr>
            <w:rFonts w:ascii="Calibri Light" w:hAnsi="Calibri Light" w:cs="Calibri Light"/>
            <w:b/>
            <w:bCs/>
            <w:i/>
            <w:color w:val="000000"/>
            <w:sz w:val="21"/>
            <w:szCs w:val="21"/>
            <w:shd w:val="clear" w:color="auto" w:fill="E6E6E6"/>
            <w:vertAlign w:val="superscript"/>
          </w:rPr>
          <w:tag w:val="MENDELEY_CITATION_v3_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"/>
          <w:id w:val="1256555503"/>
          <w:placeholder>
            <w:docPart w:val="DefaultPlaceholder_-1854013440"/>
          </w:placeholder>
        </w:sdtPr>
        <w:sdtEndPr/>
        <w:sdtContent>
          <w:r w:rsidR="00B137B4" w:rsidRPr="006E1807">
            <w:rPr>
              <w:rFonts w:ascii="Calibri Light" w:hAnsi="Calibri Light" w:cs="Calibri Light"/>
              <w:b/>
              <w:bCs/>
              <w:color w:val="000000"/>
              <w:sz w:val="21"/>
              <w:szCs w:val="21"/>
              <w:shd w:val="clear" w:color="auto" w:fill="E6E6E6"/>
              <w:vertAlign w:val="superscript"/>
            </w:rPr>
            <w:t>2</w:t>
          </w:r>
        </w:sdtContent>
      </w:sdt>
    </w:p>
    <w:p w14:paraId="256F302F" w14:textId="77777777" w:rsidR="00DC44AD" w:rsidRPr="006E1807" w:rsidRDefault="00DC44AD" w:rsidP="00C3155B">
      <w:pPr>
        <w:pStyle w:val="LISTwithnumbers"/>
        <w:numPr>
          <w:ilvl w:val="0"/>
          <w:numId w:val="10"/>
        </w:numPr>
        <w:rPr>
          <w:rFonts w:ascii="Calibri Light" w:hAnsi="Calibri Light" w:cs="Calibri Light"/>
          <w:sz w:val="21"/>
          <w:szCs w:val="21"/>
        </w:rPr>
      </w:pPr>
      <w:r w:rsidRPr="006E1807">
        <w:rPr>
          <w:rFonts w:ascii="Calibri Light" w:hAnsi="Calibri Light" w:cs="Calibri Light"/>
          <w:sz w:val="21"/>
          <w:szCs w:val="21"/>
        </w:rPr>
        <w:t>Withdraw the old antibiotic lock solution and discard.</w:t>
      </w:r>
    </w:p>
    <w:p w14:paraId="35983332" w14:textId="77777777" w:rsidR="00DC44AD" w:rsidRPr="006E1807" w:rsidRDefault="00DC44AD" w:rsidP="00C3155B">
      <w:pPr>
        <w:pStyle w:val="LISTwithnumbers"/>
        <w:numPr>
          <w:ilvl w:val="0"/>
          <w:numId w:val="10"/>
        </w:numPr>
        <w:rPr>
          <w:rFonts w:ascii="Calibri Light" w:hAnsi="Calibri Light" w:cs="Calibri Light"/>
          <w:sz w:val="21"/>
          <w:szCs w:val="21"/>
        </w:rPr>
      </w:pPr>
      <w:r w:rsidRPr="006E1807">
        <w:rPr>
          <w:rFonts w:ascii="Calibri Light" w:hAnsi="Calibri Light" w:cs="Calibri Light"/>
          <w:sz w:val="21"/>
          <w:szCs w:val="21"/>
        </w:rPr>
        <w:t>Use the SAS protocol. Flush the catheter with normal saline.</w:t>
      </w:r>
    </w:p>
    <w:p w14:paraId="2AF0E0E1" w14:textId="561075A6" w:rsidR="00DC44AD" w:rsidRPr="006E1807" w:rsidRDefault="00DC44AD" w:rsidP="00C3155B">
      <w:pPr>
        <w:pStyle w:val="LISTwithnumbers"/>
        <w:numPr>
          <w:ilvl w:val="0"/>
          <w:numId w:val="10"/>
        </w:numPr>
        <w:rPr>
          <w:rFonts w:ascii="Calibri Light" w:hAnsi="Calibri Light" w:cs="Calibri Light"/>
          <w:sz w:val="21"/>
          <w:szCs w:val="21"/>
        </w:rPr>
      </w:pPr>
      <w:r w:rsidRPr="006E1807">
        <w:rPr>
          <w:rFonts w:ascii="Calibri Light" w:hAnsi="Calibri Light" w:cs="Calibri Light"/>
          <w:sz w:val="21"/>
          <w:szCs w:val="21"/>
        </w:rPr>
        <w:t xml:space="preserve">Infuse the ordered medication through the </w:t>
      </w:r>
      <w:r w:rsidR="003F1F65" w:rsidRPr="006E1807">
        <w:rPr>
          <w:rFonts w:ascii="Calibri Light" w:hAnsi="Calibri Light" w:cs="Calibri Light"/>
          <w:sz w:val="21"/>
          <w:szCs w:val="21"/>
        </w:rPr>
        <w:t>catheter if</w:t>
      </w:r>
      <w:r w:rsidRPr="006E1807">
        <w:rPr>
          <w:rFonts w:ascii="Calibri Light" w:hAnsi="Calibri Light" w:cs="Calibri Light"/>
          <w:sz w:val="21"/>
          <w:szCs w:val="21"/>
        </w:rPr>
        <w:t xml:space="preserve"> you are using the catheter for an ordered medication.</w:t>
      </w:r>
    </w:p>
    <w:p w14:paraId="75EFD7CD" w14:textId="757BF0DE" w:rsidR="00DC44AD" w:rsidRPr="006E1807" w:rsidRDefault="00DC44AD" w:rsidP="00C3155B">
      <w:pPr>
        <w:pStyle w:val="LISTwithnumbers"/>
        <w:numPr>
          <w:ilvl w:val="0"/>
          <w:numId w:val="10"/>
        </w:numPr>
        <w:rPr>
          <w:rFonts w:ascii="Calibri Light" w:hAnsi="Calibri Light" w:cs="Calibri Light"/>
          <w:sz w:val="21"/>
          <w:szCs w:val="21"/>
        </w:rPr>
      </w:pPr>
      <w:r w:rsidRPr="006E1807">
        <w:rPr>
          <w:rFonts w:ascii="Calibri Light" w:hAnsi="Calibri Light" w:cs="Calibri Light"/>
          <w:sz w:val="21"/>
          <w:szCs w:val="21"/>
        </w:rPr>
        <w:t xml:space="preserve">Flush the catheter with </w:t>
      </w:r>
      <w:r w:rsidR="002D2E7E" w:rsidRPr="006E1807">
        <w:rPr>
          <w:rFonts w:ascii="Calibri Light" w:hAnsi="Calibri Light" w:cs="Calibri Light"/>
          <w:sz w:val="21"/>
          <w:szCs w:val="21"/>
        </w:rPr>
        <w:t xml:space="preserve">10ml </w:t>
      </w:r>
      <w:r w:rsidRPr="006E1807">
        <w:rPr>
          <w:rFonts w:ascii="Calibri Light" w:hAnsi="Calibri Light" w:cs="Calibri Light"/>
          <w:sz w:val="21"/>
          <w:szCs w:val="21"/>
        </w:rPr>
        <w:t>normal saline.</w:t>
      </w:r>
    </w:p>
    <w:p w14:paraId="0D36B8EE" w14:textId="507E33C3" w:rsidR="00DC44AD" w:rsidRPr="006E1807" w:rsidRDefault="00DC44AD" w:rsidP="00722CE1">
      <w:pPr>
        <w:pStyle w:val="LISTwithnumbers"/>
        <w:numPr>
          <w:ilvl w:val="0"/>
          <w:numId w:val="10"/>
        </w:numPr>
        <w:rPr>
          <w:rFonts w:ascii="Calibri Light" w:hAnsi="Calibri Light" w:cs="Calibri Light"/>
          <w:sz w:val="21"/>
          <w:szCs w:val="21"/>
        </w:rPr>
      </w:pPr>
      <w:r w:rsidRPr="006E1807">
        <w:rPr>
          <w:rFonts w:ascii="Calibri Light" w:hAnsi="Calibri Light" w:cs="Calibri Light"/>
          <w:sz w:val="21"/>
          <w:szCs w:val="21"/>
        </w:rPr>
        <w:t xml:space="preserve">Instill </w:t>
      </w:r>
      <w:r w:rsidR="006022DB" w:rsidRPr="006E1807">
        <w:rPr>
          <w:rFonts w:ascii="Calibri Light" w:hAnsi="Calibri Light" w:cs="Calibri Light"/>
          <w:sz w:val="21"/>
          <w:szCs w:val="21"/>
        </w:rPr>
        <w:t>3</w:t>
      </w:r>
      <w:r w:rsidRPr="006E1807">
        <w:rPr>
          <w:rFonts w:ascii="Calibri Light" w:hAnsi="Calibri Light" w:cs="Calibri Light"/>
          <w:sz w:val="21"/>
          <w:szCs w:val="21"/>
        </w:rPr>
        <w:t>ml of the antibiotic lock solution into the catheter.</w:t>
      </w:r>
    </w:p>
    <w:p w14:paraId="698C7064" w14:textId="298DA7E8" w:rsidR="00DD1725" w:rsidRPr="006E1807" w:rsidRDefault="00DD1725" w:rsidP="00DD1725">
      <w:pPr>
        <w:pStyle w:val="LISTwithnumbers"/>
        <w:numPr>
          <w:ilvl w:val="0"/>
          <w:numId w:val="10"/>
        </w:numPr>
        <w:rPr>
          <w:rFonts w:ascii="Calibri Light" w:hAnsi="Calibri Light" w:cs="Calibri Light"/>
          <w:sz w:val="21"/>
          <w:szCs w:val="21"/>
        </w:rPr>
      </w:pPr>
      <w:r w:rsidRPr="006E1807">
        <w:rPr>
          <w:rFonts w:ascii="Calibri Light" w:hAnsi="Calibri Light" w:cs="Calibri Light"/>
          <w:sz w:val="21"/>
          <w:szCs w:val="21"/>
        </w:rPr>
        <w:t>Do not flush. The antibiotic lock solution will stay in the catheter until you withdraw it prior to the next use.</w:t>
      </w:r>
    </w:p>
    <w:p w14:paraId="4BC0A842" w14:textId="77777777" w:rsidR="00DD1725" w:rsidRPr="006E1807" w:rsidRDefault="00DD1725" w:rsidP="00DD1725">
      <w:pPr>
        <w:pStyle w:val="LISTwithnumbers"/>
        <w:numPr>
          <w:ilvl w:val="0"/>
          <w:numId w:val="10"/>
        </w:numPr>
        <w:rPr>
          <w:rFonts w:ascii="Calibri Light" w:hAnsi="Calibri Light" w:cs="Calibri Light"/>
          <w:sz w:val="21"/>
          <w:szCs w:val="21"/>
        </w:rPr>
      </w:pPr>
      <w:r w:rsidRPr="006E1807">
        <w:rPr>
          <w:rFonts w:ascii="Calibri Light" w:hAnsi="Calibri Light" w:cs="Calibri Light"/>
          <w:sz w:val="21"/>
          <w:szCs w:val="21"/>
        </w:rPr>
        <w:t>Repeat these steps for the other side of the IV line.</w:t>
      </w:r>
    </w:p>
    <w:p w14:paraId="3903D673" w14:textId="77777777" w:rsidR="00DD1725" w:rsidRPr="006E1807" w:rsidRDefault="00DD1725" w:rsidP="00DD1725">
      <w:pPr>
        <w:pStyle w:val="LISTwithnumbers"/>
        <w:numPr>
          <w:ilvl w:val="0"/>
          <w:numId w:val="10"/>
        </w:numPr>
        <w:rPr>
          <w:rFonts w:ascii="Calibri Light" w:hAnsi="Calibri Light" w:cs="Calibri Light"/>
          <w:sz w:val="21"/>
          <w:szCs w:val="21"/>
        </w:rPr>
      </w:pPr>
      <w:r w:rsidRPr="006E1807">
        <w:rPr>
          <w:rFonts w:ascii="Calibri Light" w:hAnsi="Calibri Light" w:cs="Calibri Light"/>
          <w:sz w:val="21"/>
          <w:szCs w:val="21"/>
        </w:rPr>
        <w:t>Repeat these steps every 24 hours or each time you use the IV line.</w:t>
      </w:r>
    </w:p>
    <w:p w14:paraId="076133D8" w14:textId="1FFB9A12" w:rsidR="00DC44AD" w:rsidRPr="002F110C" w:rsidRDefault="00DC44AD" w:rsidP="00353670">
      <w:pPr>
        <w:pStyle w:val="emphasistext"/>
      </w:pPr>
      <w:r w:rsidRPr="00C3155B">
        <w:rPr>
          <w:sz w:val="22"/>
          <w:szCs w:val="22"/>
        </w:rPr>
        <w:t>Recommended concentrations</w:t>
      </w:r>
      <w:r w:rsidR="00BC745A">
        <w:rPr>
          <w:sz w:val="20"/>
          <w:szCs w:val="20"/>
        </w:rPr>
        <w:t>:</w:t>
      </w:r>
      <w:sdt>
        <w:sdtPr>
          <w:rPr>
            <w:b w:val="0"/>
            <w:i w:val="0"/>
            <w:color w:val="000000"/>
            <w:shd w:val="clear" w:color="auto" w:fill="E6E6E6"/>
            <w:vertAlign w:val="superscript"/>
          </w:rPr>
          <w:tag w:val="MENDELEY_CITATION_v3_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"/>
          <w:id w:val="2129817955"/>
          <w:placeholder>
            <w:docPart w:val="DefaultPlaceholder_-1854013440"/>
          </w:placeholder>
        </w:sdtPr>
        <w:sdtEndPr/>
        <w:sdtContent>
          <w:r w:rsidR="0087684C" w:rsidRPr="002F110C">
            <w:rPr>
              <w:b w:val="0"/>
              <w:i w:val="0"/>
              <w:color w:val="000000"/>
              <w:vertAlign w:val="superscript"/>
            </w:rPr>
            <w:t>2</w:t>
          </w:r>
        </w:sdtContent>
      </w:sdt>
    </w:p>
    <w:tbl>
      <w:tblPr>
        <w:tblStyle w:val="TableGrid"/>
        <w:tblW w:w="0" w:type="auto"/>
        <w:tblLook w:val="04A0" w:firstRow="1" w:lastRow="0" w:firstColumn="1" w:lastColumn="0" w:noHBand="0" w:noVBand="1"/>
        <w:tblCaption w:val="Recommended concentrations:"/>
      </w:tblPr>
      <w:tblGrid>
        <w:gridCol w:w="4675"/>
        <w:gridCol w:w="4675"/>
      </w:tblGrid>
      <w:tr w:rsidR="00DC44AD" w:rsidRPr="00371F37" w14:paraId="45AE039C" w14:textId="77777777" w:rsidTr="00353670">
        <w:tc>
          <w:tcPr>
            <w:tcW w:w="4675" w:type="dxa"/>
            <w:shd w:val="clear" w:color="auto" w:fill="F2F2F2" w:themeFill="background1" w:themeFillShade="F2"/>
          </w:tcPr>
          <w:p w14:paraId="370E8D7B" w14:textId="77777777" w:rsidR="00DC44AD" w:rsidRPr="00C3155B" w:rsidRDefault="00DC44AD" w:rsidP="00D64CD9">
            <w:pPr>
              <w:rPr>
                <w:sz w:val="20"/>
                <w:szCs w:val="20"/>
              </w:rPr>
            </w:pPr>
            <w:r w:rsidRPr="00C3155B">
              <w:rPr>
                <w:sz w:val="20"/>
                <w:szCs w:val="20"/>
              </w:rPr>
              <w:t>Antibiotic</w:t>
            </w:r>
          </w:p>
        </w:tc>
        <w:tc>
          <w:tcPr>
            <w:tcW w:w="4675" w:type="dxa"/>
            <w:shd w:val="clear" w:color="auto" w:fill="F2F2F2" w:themeFill="background1" w:themeFillShade="F2"/>
          </w:tcPr>
          <w:p w14:paraId="4456815F" w14:textId="114C8634" w:rsidR="00DC44AD" w:rsidRPr="00C3155B" w:rsidRDefault="00DC44AD" w:rsidP="00D64CD9">
            <w:pPr>
              <w:rPr>
                <w:sz w:val="20"/>
                <w:szCs w:val="20"/>
              </w:rPr>
            </w:pPr>
          </w:p>
        </w:tc>
      </w:tr>
      <w:tr w:rsidR="00DC44AD" w:rsidRPr="00371F37" w14:paraId="2F8F485C" w14:textId="77777777" w:rsidTr="00D64CD9">
        <w:tc>
          <w:tcPr>
            <w:tcW w:w="4675" w:type="dxa"/>
          </w:tcPr>
          <w:p w14:paraId="3FCD594E" w14:textId="77777777" w:rsidR="00DC44AD" w:rsidRPr="00C3155B" w:rsidRDefault="00DC44AD" w:rsidP="00D64CD9">
            <w:pPr>
              <w:rPr>
                <w:sz w:val="20"/>
                <w:szCs w:val="20"/>
              </w:rPr>
            </w:pPr>
            <w:r w:rsidRPr="00C3155B">
              <w:rPr>
                <w:sz w:val="20"/>
                <w:szCs w:val="20"/>
              </w:rPr>
              <w:t>Vancomycin 5mg/mL</w:t>
            </w:r>
          </w:p>
        </w:tc>
        <w:tc>
          <w:tcPr>
            <w:tcW w:w="4675" w:type="dxa"/>
          </w:tcPr>
          <w:p w14:paraId="43E7D2D0" w14:textId="46B6B45E" w:rsidR="00DC44AD" w:rsidRPr="00C3155B" w:rsidRDefault="00DC44AD" w:rsidP="00D64CD9">
            <w:pPr>
              <w:rPr>
                <w:sz w:val="20"/>
                <w:szCs w:val="20"/>
              </w:rPr>
            </w:pPr>
          </w:p>
        </w:tc>
      </w:tr>
      <w:tr w:rsidR="00DC44AD" w:rsidRPr="00371F37" w14:paraId="49E1CD8D" w14:textId="77777777" w:rsidTr="00D64CD9">
        <w:tc>
          <w:tcPr>
            <w:tcW w:w="4675" w:type="dxa"/>
          </w:tcPr>
          <w:p w14:paraId="26D7C040" w14:textId="77777777" w:rsidR="00DC44AD" w:rsidRPr="00C3155B" w:rsidRDefault="00DC44AD" w:rsidP="00D64CD9">
            <w:pPr>
              <w:rPr>
                <w:sz w:val="20"/>
                <w:szCs w:val="20"/>
              </w:rPr>
            </w:pPr>
            <w:r w:rsidRPr="00C3155B">
              <w:rPr>
                <w:sz w:val="20"/>
                <w:szCs w:val="20"/>
              </w:rPr>
              <w:t>Cefazolin 5mg/mL</w:t>
            </w:r>
          </w:p>
        </w:tc>
        <w:tc>
          <w:tcPr>
            <w:tcW w:w="4675" w:type="dxa"/>
          </w:tcPr>
          <w:p w14:paraId="3DF70E06" w14:textId="5645F00A" w:rsidR="00DC44AD" w:rsidRPr="00C3155B" w:rsidRDefault="00DC44AD" w:rsidP="00D64CD9">
            <w:pPr>
              <w:rPr>
                <w:sz w:val="20"/>
                <w:szCs w:val="20"/>
              </w:rPr>
            </w:pPr>
          </w:p>
        </w:tc>
      </w:tr>
      <w:tr w:rsidR="00DC44AD" w:rsidRPr="00371F37" w14:paraId="6439EAC9" w14:textId="77777777" w:rsidTr="00D64CD9">
        <w:tc>
          <w:tcPr>
            <w:tcW w:w="4675" w:type="dxa"/>
          </w:tcPr>
          <w:p w14:paraId="76977E19" w14:textId="77777777" w:rsidR="00DC44AD" w:rsidRPr="00C3155B" w:rsidRDefault="00DC44AD" w:rsidP="00D64CD9">
            <w:pPr>
              <w:rPr>
                <w:sz w:val="20"/>
                <w:szCs w:val="20"/>
              </w:rPr>
            </w:pPr>
            <w:r w:rsidRPr="00C3155B">
              <w:rPr>
                <w:sz w:val="20"/>
                <w:szCs w:val="20"/>
              </w:rPr>
              <w:t>Gentamicin 2mg/mL</w:t>
            </w:r>
          </w:p>
        </w:tc>
        <w:tc>
          <w:tcPr>
            <w:tcW w:w="4675" w:type="dxa"/>
          </w:tcPr>
          <w:p w14:paraId="2CCD8A28" w14:textId="42382601" w:rsidR="00DC44AD" w:rsidRPr="00C3155B" w:rsidRDefault="00DC44AD" w:rsidP="00D64CD9">
            <w:pPr>
              <w:rPr>
                <w:sz w:val="20"/>
                <w:szCs w:val="20"/>
              </w:rPr>
            </w:pPr>
          </w:p>
        </w:tc>
      </w:tr>
      <w:tr w:rsidR="00DC44AD" w:rsidRPr="00371F37" w14:paraId="39352D48" w14:textId="77777777" w:rsidTr="00D64CD9">
        <w:tc>
          <w:tcPr>
            <w:tcW w:w="4675" w:type="dxa"/>
          </w:tcPr>
          <w:p w14:paraId="1CF0FB16" w14:textId="77777777" w:rsidR="00DC44AD" w:rsidRPr="00C3155B" w:rsidRDefault="00DC44AD" w:rsidP="00D64CD9">
            <w:pPr>
              <w:rPr>
                <w:sz w:val="20"/>
                <w:szCs w:val="20"/>
              </w:rPr>
            </w:pPr>
            <w:r w:rsidRPr="00C3155B">
              <w:rPr>
                <w:sz w:val="20"/>
                <w:szCs w:val="20"/>
              </w:rPr>
              <w:t>Vancomycin 2.5mg/mL with gentamicin 1mg/mL</w:t>
            </w:r>
          </w:p>
        </w:tc>
        <w:tc>
          <w:tcPr>
            <w:tcW w:w="4675" w:type="dxa"/>
          </w:tcPr>
          <w:p w14:paraId="63DD3B34" w14:textId="37A3CD0D" w:rsidR="00DC44AD" w:rsidRPr="00C3155B" w:rsidRDefault="00DC44AD" w:rsidP="00D64CD9">
            <w:pPr>
              <w:rPr>
                <w:sz w:val="20"/>
                <w:szCs w:val="20"/>
              </w:rPr>
            </w:pPr>
          </w:p>
        </w:tc>
      </w:tr>
    </w:tbl>
    <w:p w14:paraId="5469A159" w14:textId="77777777" w:rsidR="00057F2D" w:rsidRPr="00C3155B" w:rsidRDefault="00057F2D" w:rsidP="001D41AC">
      <w:pPr>
        <w:pStyle w:val="TableParagraph"/>
        <w:rPr>
          <w:sz w:val="18"/>
          <w:szCs w:val="18"/>
        </w:rPr>
      </w:pPr>
    </w:p>
    <w:p w14:paraId="74913A26" w14:textId="77777777" w:rsidR="00AC059E" w:rsidRDefault="00AC059E" w:rsidP="001D41AC">
      <w:pPr>
        <w:pStyle w:val="TableParagraph"/>
        <w:rPr>
          <w:b/>
          <w:bCs/>
          <w:sz w:val="18"/>
          <w:szCs w:val="18"/>
        </w:rPr>
      </w:pPr>
    </w:p>
    <w:p w14:paraId="494A1500" w14:textId="53B8D35B" w:rsidR="00A30FC9" w:rsidRPr="00C3155B" w:rsidRDefault="006109DF" w:rsidP="001D41AC">
      <w:pPr>
        <w:pStyle w:val="TableParagraph"/>
        <w:rPr>
          <w:b/>
          <w:bCs/>
          <w:sz w:val="18"/>
          <w:szCs w:val="18"/>
        </w:rPr>
      </w:pPr>
      <w:r w:rsidRPr="00C3155B">
        <w:rPr>
          <w:b/>
          <w:bCs/>
          <w:sz w:val="18"/>
          <w:szCs w:val="18"/>
        </w:rPr>
        <w:lastRenderedPageBreak/>
        <w:t>Reference</w:t>
      </w:r>
    </w:p>
    <w:sdt>
      <w:sdtPr>
        <w:rPr>
          <w:color w:val="2B579A"/>
          <w:shd w:val="clear" w:color="auto" w:fill="E6E6E6"/>
        </w:rPr>
        <w:tag w:val="MENDELEY_BIBLIOGRAPHY"/>
        <w:id w:val="-755370740"/>
        <w:placeholder>
          <w:docPart w:val="DefaultPlaceholder_-1854013440"/>
        </w:placeholder>
      </w:sdtPr>
      <w:sdtEndPr/>
      <w:sdtContent>
        <w:p w14:paraId="1A783F7B" w14:textId="6FDCE380" w:rsidR="0087684C" w:rsidRPr="00C3155B" w:rsidRDefault="0087684C" w:rsidP="00C3155B">
          <w:pPr>
            <w:pStyle w:val="References"/>
            <w:numPr>
              <w:ilvl w:val="0"/>
              <w:numId w:val="9"/>
            </w:numPr>
            <w:divId w:val="559287060"/>
          </w:pPr>
          <w:proofErr w:type="spellStart"/>
          <w:r w:rsidRPr="00C3155B">
            <w:t>Mermel</w:t>
          </w:r>
          <w:proofErr w:type="spellEnd"/>
          <w:r w:rsidRPr="00C3155B">
            <w:t xml:space="preserve"> LA, </w:t>
          </w:r>
          <w:proofErr w:type="spellStart"/>
          <w:r w:rsidRPr="00C3155B">
            <w:t>Allon</w:t>
          </w:r>
          <w:proofErr w:type="spellEnd"/>
          <w:r w:rsidRPr="00C3155B">
            <w:t xml:space="preserve"> M, Bouza E, et al. Clinical Practice Guidelines for the Diagnosis and Management of Intravascular Catheter-Related Infection: 2009 Update by the Infectious Diseases Society of America. Clinical Infectious Diseases</w:t>
          </w:r>
          <w:r w:rsidRPr="00115992">
            <w:t>. 2009;49(1):1-45. doi:10.1086/599376</w:t>
          </w:r>
        </w:p>
        <w:p w14:paraId="12281340" w14:textId="0810AACD" w:rsidR="0087684C" w:rsidRPr="00115992" w:rsidRDefault="0087684C" w:rsidP="00C3155B">
          <w:pPr>
            <w:pStyle w:val="References"/>
            <w:divId w:val="195775636"/>
          </w:pPr>
          <w:r w:rsidRPr="00C3155B">
            <w:t xml:space="preserve">Justo JA, </w:t>
          </w:r>
          <w:proofErr w:type="spellStart"/>
          <w:r w:rsidRPr="00C3155B">
            <w:t>Bookstaver</w:t>
          </w:r>
          <w:proofErr w:type="spellEnd"/>
          <w:r w:rsidRPr="00C3155B">
            <w:t xml:space="preserve"> PB. Antibiotic lock therapy: Review of technique and logistical challenges. Infect Drug Resist</w:t>
          </w:r>
          <w:r w:rsidRPr="00115992">
            <w:t>. 2014;7:343-363. doi:10.2147/IDR.S51388</w:t>
          </w:r>
        </w:p>
        <w:p w14:paraId="19431D28" w14:textId="02753359" w:rsidR="006109DF" w:rsidRPr="00C3155B" w:rsidRDefault="00254EA6" w:rsidP="00C3155B">
          <w:pPr>
            <w:pStyle w:val="References"/>
            <w:numPr>
              <w:ilvl w:val="0"/>
              <w:numId w:val="0"/>
            </w:numPr>
          </w:pPr>
        </w:p>
      </w:sdtContent>
    </w:sdt>
    <w:sectPr w:rsidR="006109DF" w:rsidRPr="00C3155B" w:rsidSect="0047309F">
      <w:headerReference w:type="default" r:id="rId8"/>
      <w:footerReference w:type="even" r:id="rId9"/>
      <w:footerReference w:type="default" r:id="rId10"/>
      <w:headerReference w:type="first" r:id="rId11"/>
      <w:footerReference w:type="first" r:id="rId12"/>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6AB2F" w14:textId="77777777" w:rsidR="009F57A5" w:rsidRDefault="009F57A5" w:rsidP="009B626B">
      <w:r>
        <w:separator/>
      </w:r>
    </w:p>
  </w:endnote>
  <w:endnote w:type="continuationSeparator" w:id="0">
    <w:p w14:paraId="7290DCB5" w14:textId="77777777" w:rsidR="009F57A5" w:rsidRDefault="009F57A5" w:rsidP="009B626B">
      <w:r>
        <w:continuationSeparator/>
      </w:r>
    </w:p>
  </w:endnote>
  <w:endnote w:type="continuationNotice" w:id="1">
    <w:p w14:paraId="771A4CA9" w14:textId="77777777" w:rsidR="009F57A5" w:rsidRDefault="009F5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Gothic" w:hAnsi="Century Gothic"/>
        <w:sz w:val="16"/>
        <w:szCs w:val="16"/>
      </w:rPr>
      <w:id w:val="129907935"/>
      <w:docPartObj>
        <w:docPartGallery w:val="Page Numbers (Bottom of Page)"/>
        <w:docPartUnique/>
      </w:docPartObj>
    </w:sdtPr>
    <w:sdtEndPr>
      <w:rPr>
        <w:rStyle w:val="PageNumber"/>
      </w:rPr>
    </w:sdtEndPr>
    <w:sdtContent>
      <w:p w14:paraId="7C893DD8" w14:textId="60C88F83" w:rsidR="00D465BC" w:rsidRPr="00362908" w:rsidRDefault="007C7D85" w:rsidP="00362908">
        <w:pPr>
          <w:pStyle w:val="Footer"/>
          <w:jc w:val="right"/>
          <w:rPr>
            <w:rStyle w:val="PageNumber"/>
            <w:rFonts w:ascii="Century Gothic" w:hAnsi="Century Gothic"/>
            <w:sz w:val="16"/>
            <w:szCs w:val="16"/>
          </w:rPr>
        </w:pPr>
        <w:r>
          <w:rPr>
            <w:noProof/>
            <w:color w:val="2B579A"/>
            <w:shd w:val="clear" w:color="auto" w:fill="E6E6E6"/>
          </w:rPr>
          <w:drawing>
            <wp:anchor distT="0" distB="0" distL="114300" distR="114300" simplePos="0" relativeHeight="251660298" behindDoc="0" locked="0" layoutInCell="1" allowOverlap="1" wp14:anchorId="6A4DC771" wp14:editId="5A5F07AE">
              <wp:simplePos x="0" y="0"/>
              <wp:positionH relativeFrom="margin">
                <wp:align>left</wp:align>
              </wp:positionH>
              <wp:positionV relativeFrom="paragraph">
                <wp:posOffset>-203835</wp:posOffset>
              </wp:positionV>
              <wp:extent cx="1399791" cy="468923"/>
              <wp:effectExtent l="0" t="0" r="0" b="7620"/>
              <wp:wrapNone/>
              <wp:docPr id="1"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B50E71" w:rsidRPr="00362908">
          <w:rPr>
            <w:rStyle w:val="PageNumber"/>
            <w:rFonts w:ascii="Century Gothic" w:hAnsi="Century Gothic"/>
            <w:sz w:val="16"/>
            <w:szCs w:val="16"/>
          </w:rPr>
          <w:tab/>
        </w:r>
        <w:r w:rsidR="00B50E71" w:rsidRPr="00254EA6">
          <w:rPr>
            <w:rStyle w:val="PageNumber"/>
            <w:rFonts w:ascii="Century Gothic" w:hAnsi="Century Gothic"/>
            <w:i w:val="0"/>
            <w:iCs w:val="0"/>
            <w:sz w:val="16"/>
            <w:szCs w:val="16"/>
          </w:rPr>
          <w:tab/>
        </w:r>
        <w:r w:rsidR="00362908" w:rsidRPr="00254EA6">
          <w:rPr>
            <w:rStyle w:val="PageNumber"/>
            <w:rFonts w:ascii="Century Gothic" w:hAnsi="Century Gothic"/>
            <w:i w:val="0"/>
            <w:iCs w:val="0"/>
            <w:sz w:val="16"/>
            <w:szCs w:val="16"/>
          </w:rPr>
          <w:t>Antibiotic Lock Therapy: Healthcare Providers</w:t>
        </w:r>
        <w:r w:rsidR="00254EA6" w:rsidRPr="00254EA6">
          <w:rPr>
            <w:rStyle w:val="PageNumber"/>
            <w:rFonts w:ascii="Century Gothic" w:hAnsi="Century Gothic"/>
            <w:i w:val="0"/>
            <w:iCs w:val="0"/>
            <w:sz w:val="16"/>
            <w:szCs w:val="16"/>
          </w:rPr>
          <w:t xml:space="preserve"> | Page 2 of 2</w:t>
        </w:r>
      </w:p>
    </w:sdtContent>
  </w:sdt>
  <w:p w14:paraId="163BB8E4" w14:textId="5C952B09" w:rsidR="00D465BC" w:rsidRPr="00362908" w:rsidRDefault="00D465BC" w:rsidP="00362908">
    <w:pPr>
      <w:pStyle w:val="Footer"/>
      <w:jc w:val="right"/>
      <w:rPr>
        <w:rFonts w:ascii="Century Gothic" w:hAnsi="Century Gothi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3F30E22" w:rsidR="00057F2D" w:rsidRPr="00C3155B" w:rsidRDefault="003F0A90" w:rsidP="00B50E71">
    <w:pPr>
      <w:pStyle w:val="Footer"/>
      <w:rPr>
        <w:sz w:val="16"/>
        <w:szCs w:val="16"/>
      </w:rPr>
    </w:pPr>
    <w:r w:rsidRPr="00C3155B">
      <w:rPr>
        <w:noProof/>
        <w:color w:val="2B579A"/>
        <w:sz w:val="16"/>
        <w:szCs w:val="16"/>
        <w:shd w:val="clear" w:color="auto" w:fill="E6E6E6"/>
      </w:rPr>
      <mc:AlternateContent>
        <mc:Choice Requires="wps">
          <w:drawing>
            <wp:anchor distT="0" distB="0" distL="114300" distR="114300" simplePos="0" relativeHeight="251658240"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2087228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3AFEC9D6">
            <v:rect id="Rectangle 1"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859acd" stroked="f" strokeweight="1pt" w14:anchorId="3B38F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w:pict>
        </mc:Fallback>
      </mc:AlternateContent>
    </w:r>
    <w:r w:rsidRPr="00C3155B">
      <w:rPr>
        <w:noProof/>
        <w:color w:val="2B579A"/>
        <w:sz w:val="16"/>
        <w:szCs w:val="16"/>
        <w:shd w:val="clear" w:color="auto" w:fill="E6E6E6"/>
      </w:rPr>
      <mc:AlternateContent>
        <mc:Choice Requires="wps">
          <w:drawing>
            <wp:anchor distT="0" distB="0" distL="114300" distR="114300" simplePos="0" relativeHeight="251658242"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107031697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4283008F" w:rsidR="00225BCD" w:rsidRPr="00C3155B" w:rsidRDefault="0024012B">
                          <w:pPr>
                            <w:rPr>
                              <w:b/>
                              <w:bCs/>
                              <w:color w:val="FFFFFF" w:themeColor="background1"/>
                              <w:sz w:val="18"/>
                              <w:szCs w:val="18"/>
                            </w:rPr>
                          </w:pPr>
                          <w:r w:rsidRPr="00C3155B">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AEA651C" id="_x0000_t202" coordsize="21600,21600" o:spt="202" path="m,l,21600r21600,l21600,xe">
              <v:stroke joinstyle="miter"/>
              <v:path gradientshapeok="t" o:connecttype="rect"/>
            </v:shapetype>
            <v:shape id="Text Box 1070316972" o:spid="_x0000_s1028" type="#_x0000_t202" alt="This project was made possible by a grant from the Agency for Healthcare Research and Quality which is not responsible for the content of this website." style="position:absolute;margin-left:-14.9pt;margin-top:-5.75pt;width:346.8pt;height:5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" filled="f" stroked="f" strokeweight=".5pt">
              <v:textbox>
                <w:txbxContent>
                  <w:p w14:paraId="21D65CE2" w14:textId="4283008F" w:rsidR="00225BCD" w:rsidRPr="00C3155B" w:rsidRDefault="0024012B">
                    <w:pPr>
                      <w:rPr>
                        <w:b/>
                        <w:bCs/>
                        <w:color w:val="FFFFFF" w:themeColor="background1"/>
                        <w:sz w:val="18"/>
                        <w:szCs w:val="18"/>
                      </w:rPr>
                    </w:pPr>
                    <w:r w:rsidRPr="00C3155B">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Pr="00C3155B">
      <w:rPr>
        <w:noProof/>
        <w:color w:val="2B579A"/>
        <w:sz w:val="16"/>
        <w:szCs w:val="16"/>
        <w:shd w:val="clear" w:color="auto" w:fill="E6E6E6"/>
      </w:rPr>
      <mc:AlternateContent>
        <mc:Choice Requires="wps">
          <w:drawing>
            <wp:anchor distT="0" distB="0" distL="114300" distR="114300" simplePos="0" relativeHeight="251658241" behindDoc="1" locked="0" layoutInCell="1" allowOverlap="1" wp14:anchorId="32991E25" wp14:editId="64DFB621">
              <wp:simplePos x="0" y="0"/>
              <wp:positionH relativeFrom="column">
                <wp:posOffset>-913765</wp:posOffset>
              </wp:positionH>
              <wp:positionV relativeFrom="paragraph">
                <wp:posOffset>-69894</wp:posOffset>
              </wp:positionV>
              <wp:extent cx="5563870" cy="723900"/>
              <wp:effectExtent l="0" t="0" r="0" b="0"/>
              <wp:wrapNone/>
              <wp:docPr id="422892727" name="Rectangle 4228927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0BF93C13">
            <v:rect id="Rectangle 1"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41486e" stroked="f" strokeweight="1pt" w14:anchorId="5050B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w:pict>
        </mc:Fallback>
      </mc:AlternateContent>
    </w:r>
    <w:r w:rsidR="002877C5" w:rsidRPr="00C3155B">
      <w:rPr>
        <w:noProof/>
        <w:color w:val="2B579A"/>
        <w:sz w:val="16"/>
        <w:szCs w:val="16"/>
        <w:shd w:val="clear" w:color="auto" w:fill="E6E6E6"/>
      </w:rPr>
      <w:drawing>
        <wp:anchor distT="0" distB="0" distL="114300" distR="114300" simplePos="0" relativeHeight="251658243" behindDoc="0" locked="0" layoutInCell="1" allowOverlap="1" wp14:anchorId="6F59296F" wp14:editId="2ADD80EF">
          <wp:simplePos x="0" y="0"/>
          <wp:positionH relativeFrom="column">
            <wp:posOffset>5106571</wp:posOffset>
          </wp:positionH>
          <wp:positionV relativeFrom="paragraph">
            <wp:posOffset>46697</wp:posOffset>
          </wp:positionV>
          <wp:extent cx="1399791" cy="468923"/>
          <wp:effectExtent l="0" t="0" r="0" b="1270"/>
          <wp:wrapNone/>
          <wp:docPr id="1616228959" name="Picture 1616228959" descr="CLABSI Prevention collaborativ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1616228959" descr="CLABSI Prevention collaborative logo&#10;"/>
                  <pic:cNvPicPr/>
                </pic:nvPicPr>
                <pic:blipFill>
                  <a:blip r:embed="rId1">
                    <a:extLst>
                      <a:ext uri="{28A0092B-C50C-407E-A947-70E740481C1C}">
                        <a14:useLocalDpi xmlns:a14="http://schemas.microsoft.com/office/drawing/2010/main" val="0"/>
                      </a:ext>
                    </a:extLst>
                  </a:blip>
                  <a:stretch>
                    <a:fillRect/>
                  </a:stretch>
                </pic:blipFill>
                <pic:spPr>
                  <a:xfrm>
                    <a:off x="0" y="0"/>
                    <a:ext cx="1402417" cy="469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39BC" w14:textId="77777777" w:rsidR="009F57A5" w:rsidRDefault="009F57A5" w:rsidP="009B626B">
      <w:r>
        <w:separator/>
      </w:r>
    </w:p>
  </w:footnote>
  <w:footnote w:type="continuationSeparator" w:id="0">
    <w:p w14:paraId="1BFA1618" w14:textId="77777777" w:rsidR="009F57A5" w:rsidRDefault="009F57A5" w:rsidP="009B626B">
      <w:r>
        <w:continuationSeparator/>
      </w:r>
    </w:p>
  </w:footnote>
  <w:footnote w:type="continuationNotice" w:id="1">
    <w:p w14:paraId="61599562" w14:textId="77777777" w:rsidR="009F57A5" w:rsidRDefault="009F57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58247"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6"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1909825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58248"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1650500578"/>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rto="http://schemas.microsoft.com/office/word/2006/arto" xmlns:a="http://schemas.openxmlformats.org/drawingml/2006/main">
          <w:pict w14:anchorId="385B26E8">
            <v:line id="Straight Connector 3"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4.5pt" from="-72.3pt,63.05pt" to="538.95pt,63.05pt" w14:anchorId="016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49"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1678980145"/>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rto="http://schemas.microsoft.com/office/word/2006/arto" xmlns:a="http://schemas.openxmlformats.org/drawingml/2006/main">
          <w:pict w14:anchorId="0A5824D8">
            <v:line id="Straight Connector 3"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2.25pt" from="-72.3pt,68.95pt" to="538.95pt,68.95pt" w14:anchorId="06C4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50"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1975052187"/>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rto="http://schemas.microsoft.com/office/word/2006/arto" xmlns:a="http://schemas.openxmlformats.org/drawingml/2006/main">
          <w:pict w14:anchorId="09850019">
            <v:line id="Straight Connector 3"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1pt" from="-72.3pt,74.05pt" to="538.95pt,74.05pt" w14:anchorId="4C210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58244"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1312971893"/>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a="http://schemas.openxmlformats.org/drawingml/2006/main">
          <w:pict w14:anchorId="157766E1">
            <v:rect id="Rectangle 2"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1pt" w14:anchorId="1B9BE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039E26A2"/>
    <w:lvl w:ilvl="0" w:tplc="9BF46D70">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A31D60"/>
    <w:multiLevelType w:val="hybridMultilevel"/>
    <w:tmpl w:val="DA8A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D44B9"/>
    <w:multiLevelType w:val="hybridMultilevel"/>
    <w:tmpl w:val="9404FB38"/>
    <w:lvl w:ilvl="0" w:tplc="5B1CB8C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03979"/>
    <w:multiLevelType w:val="hybridMultilevel"/>
    <w:tmpl w:val="35E60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13E90"/>
    <w:multiLevelType w:val="multilevel"/>
    <w:tmpl w:val="BD5A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A4D57"/>
    <w:multiLevelType w:val="multilevel"/>
    <w:tmpl w:val="6E54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C318A0"/>
    <w:multiLevelType w:val="hybridMultilevel"/>
    <w:tmpl w:val="D47E6A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2"/>
  </w:num>
  <w:num w:numId="4">
    <w:abstractNumId w:val="2"/>
  </w:num>
  <w:num w:numId="5">
    <w:abstractNumId w:val="1"/>
  </w:num>
  <w:num w:numId="6">
    <w:abstractNumId w:val="3"/>
  </w:num>
  <w:num w:numId="7">
    <w:abstractNumId w:val="4"/>
  </w:num>
  <w:num w:numId="8">
    <w:abstractNumId w:val="5"/>
  </w:num>
  <w:num w:numId="9">
    <w:abstractNumId w:val="2"/>
    <w:lvlOverride w:ilvl="0">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61E27"/>
    <w:rsid w:val="00073659"/>
    <w:rsid w:val="000B5537"/>
    <w:rsid w:val="000D538F"/>
    <w:rsid w:val="00115992"/>
    <w:rsid w:val="001D41AC"/>
    <w:rsid w:val="00213CA9"/>
    <w:rsid w:val="00215CDC"/>
    <w:rsid w:val="00225BCD"/>
    <w:rsid w:val="0023003C"/>
    <w:rsid w:val="0024012B"/>
    <w:rsid w:val="002451B9"/>
    <w:rsid w:val="00254EA6"/>
    <w:rsid w:val="002750E9"/>
    <w:rsid w:val="002877C5"/>
    <w:rsid w:val="002D2E7E"/>
    <w:rsid w:val="002D3753"/>
    <w:rsid w:val="002E6941"/>
    <w:rsid w:val="002F110C"/>
    <w:rsid w:val="00332014"/>
    <w:rsid w:val="0034636D"/>
    <w:rsid w:val="00351A94"/>
    <w:rsid w:val="003520A6"/>
    <w:rsid w:val="00353670"/>
    <w:rsid w:val="00362908"/>
    <w:rsid w:val="00371F37"/>
    <w:rsid w:val="00377E8F"/>
    <w:rsid w:val="00386505"/>
    <w:rsid w:val="003F0A90"/>
    <w:rsid w:val="003F1F65"/>
    <w:rsid w:val="00402BCF"/>
    <w:rsid w:val="00420715"/>
    <w:rsid w:val="0047309F"/>
    <w:rsid w:val="004C1D7B"/>
    <w:rsid w:val="004C4BF0"/>
    <w:rsid w:val="00510B3A"/>
    <w:rsid w:val="00530013"/>
    <w:rsid w:val="005504F6"/>
    <w:rsid w:val="00554209"/>
    <w:rsid w:val="00571541"/>
    <w:rsid w:val="0057222A"/>
    <w:rsid w:val="00575968"/>
    <w:rsid w:val="005B1A78"/>
    <w:rsid w:val="005B2B90"/>
    <w:rsid w:val="006022DB"/>
    <w:rsid w:val="0060507B"/>
    <w:rsid w:val="006109DF"/>
    <w:rsid w:val="00632256"/>
    <w:rsid w:val="006816B9"/>
    <w:rsid w:val="006A2103"/>
    <w:rsid w:val="006B1AF9"/>
    <w:rsid w:val="006B4E5A"/>
    <w:rsid w:val="006E1807"/>
    <w:rsid w:val="00722CE1"/>
    <w:rsid w:val="007B5165"/>
    <w:rsid w:val="007B662B"/>
    <w:rsid w:val="007B77A9"/>
    <w:rsid w:val="007C7D85"/>
    <w:rsid w:val="00822841"/>
    <w:rsid w:val="0087684C"/>
    <w:rsid w:val="008B4A55"/>
    <w:rsid w:val="00956A76"/>
    <w:rsid w:val="009602EE"/>
    <w:rsid w:val="009B2581"/>
    <w:rsid w:val="009B4FE7"/>
    <w:rsid w:val="009B626B"/>
    <w:rsid w:val="009D72CF"/>
    <w:rsid w:val="009F57A5"/>
    <w:rsid w:val="00A30FC9"/>
    <w:rsid w:val="00AA3348"/>
    <w:rsid w:val="00AA4386"/>
    <w:rsid w:val="00AA498F"/>
    <w:rsid w:val="00AB28EE"/>
    <w:rsid w:val="00AB53BC"/>
    <w:rsid w:val="00AC059E"/>
    <w:rsid w:val="00AF2E29"/>
    <w:rsid w:val="00B137B4"/>
    <w:rsid w:val="00B14C70"/>
    <w:rsid w:val="00B4138D"/>
    <w:rsid w:val="00B50E71"/>
    <w:rsid w:val="00B54CF7"/>
    <w:rsid w:val="00B81ECF"/>
    <w:rsid w:val="00BC745A"/>
    <w:rsid w:val="00BD18FE"/>
    <w:rsid w:val="00C10A7C"/>
    <w:rsid w:val="00C3155B"/>
    <w:rsid w:val="00C62909"/>
    <w:rsid w:val="00C80F3B"/>
    <w:rsid w:val="00C92DEE"/>
    <w:rsid w:val="00C94509"/>
    <w:rsid w:val="00D45492"/>
    <w:rsid w:val="00D465BC"/>
    <w:rsid w:val="00D64CD9"/>
    <w:rsid w:val="00D66BB3"/>
    <w:rsid w:val="00D7790A"/>
    <w:rsid w:val="00DC44AD"/>
    <w:rsid w:val="00DD1725"/>
    <w:rsid w:val="00E0111C"/>
    <w:rsid w:val="00E05BEC"/>
    <w:rsid w:val="00E1505E"/>
    <w:rsid w:val="00E40871"/>
    <w:rsid w:val="00E43AF3"/>
    <w:rsid w:val="00E51CF6"/>
    <w:rsid w:val="00E531F7"/>
    <w:rsid w:val="00E535BC"/>
    <w:rsid w:val="00E7438A"/>
    <w:rsid w:val="00ED2531"/>
    <w:rsid w:val="00F0003C"/>
    <w:rsid w:val="00F04792"/>
    <w:rsid w:val="00F75DE1"/>
    <w:rsid w:val="00FC6B0F"/>
    <w:rsid w:val="00FF1556"/>
    <w:rsid w:val="0632D64A"/>
    <w:rsid w:val="5344488D"/>
    <w:rsid w:val="5C2D1F47"/>
    <w:rsid w:val="6071AB59"/>
    <w:rsid w:val="75F779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DF249A"/>
  <w15:chartTrackingRefBased/>
  <w15:docId w15:val="{8591697F-CB0F-1042-8D0B-9FEC0165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E51CF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spacing w:after="160" w:line="259" w:lineRule="auto"/>
      <w:ind w:hanging="360"/>
    </w:pPr>
    <w:rPr>
      <w:rFonts w:eastAsia="Times New Roman" w:cstheme="minorHAnsi"/>
      <w:sz w:val="22"/>
      <w:szCs w:val="22"/>
    </w:rPr>
  </w:style>
  <w:style w:type="paragraph" w:customStyle="1" w:styleId="References">
    <w:name w:val="References"/>
    <w:basedOn w:val="LISTwithnumbers"/>
    <w:qFormat/>
    <w:rsid w:val="000D538F"/>
    <w:pPr>
      <w:numPr>
        <w:numId w:val="3"/>
      </w:numPr>
    </w:pPr>
    <w:rPr>
      <w:rFonts w:asciiTheme="majorHAnsi" w:hAnsiTheme="majorHAnsi" w:cstheme="majorHAnsi"/>
      <w:sz w:val="18"/>
      <w:szCs w:val="18"/>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unhideWhenUsed/>
    <w:rsid w:val="00E05BEC"/>
    <w:rPr>
      <w:sz w:val="20"/>
      <w:szCs w:val="20"/>
    </w:rPr>
  </w:style>
  <w:style w:type="character" w:customStyle="1" w:styleId="CommentTextChar">
    <w:name w:val="Comment Text Char"/>
    <w:basedOn w:val="DefaultParagraphFont"/>
    <w:link w:val="CommentText"/>
    <w:uiPriority w:val="99"/>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table" w:styleId="TableGrid">
    <w:name w:val="Table Grid"/>
    <w:basedOn w:val="TableNormal"/>
    <w:uiPriority w:val="39"/>
    <w:rsid w:val="00DC44A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entifier">
    <w:name w:val="identifier"/>
    <w:basedOn w:val="DefaultParagraphFont"/>
    <w:rsid w:val="00DC44AD"/>
  </w:style>
  <w:style w:type="character" w:styleId="PlaceholderText">
    <w:name w:val="Placeholder Text"/>
    <w:basedOn w:val="DefaultParagraphFont"/>
    <w:uiPriority w:val="99"/>
    <w:semiHidden/>
    <w:rsid w:val="006816B9"/>
    <w:rPr>
      <w:color w:val="808080"/>
    </w:rPr>
  </w:style>
  <w:style w:type="paragraph" w:styleId="Revision">
    <w:name w:val="Revision"/>
    <w:hidden/>
    <w:uiPriority w:val="99"/>
    <w:semiHidden/>
    <w:rsid w:val="00632256"/>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3072">
      <w:bodyDiv w:val="1"/>
      <w:marLeft w:val="0"/>
      <w:marRight w:val="0"/>
      <w:marTop w:val="0"/>
      <w:marBottom w:val="0"/>
      <w:divBdr>
        <w:top w:val="none" w:sz="0" w:space="0" w:color="auto"/>
        <w:left w:val="none" w:sz="0" w:space="0" w:color="auto"/>
        <w:bottom w:val="none" w:sz="0" w:space="0" w:color="auto"/>
        <w:right w:val="none" w:sz="0" w:space="0" w:color="auto"/>
      </w:divBdr>
      <w:divsChild>
        <w:div w:id="750734148">
          <w:marLeft w:val="640"/>
          <w:marRight w:val="0"/>
          <w:marTop w:val="0"/>
          <w:marBottom w:val="0"/>
          <w:divBdr>
            <w:top w:val="none" w:sz="0" w:space="0" w:color="auto"/>
            <w:left w:val="none" w:sz="0" w:space="0" w:color="auto"/>
            <w:bottom w:val="none" w:sz="0" w:space="0" w:color="auto"/>
            <w:right w:val="none" w:sz="0" w:space="0" w:color="auto"/>
          </w:divBdr>
        </w:div>
        <w:div w:id="170947462">
          <w:marLeft w:val="640"/>
          <w:marRight w:val="0"/>
          <w:marTop w:val="0"/>
          <w:marBottom w:val="0"/>
          <w:divBdr>
            <w:top w:val="none" w:sz="0" w:space="0" w:color="auto"/>
            <w:left w:val="none" w:sz="0" w:space="0" w:color="auto"/>
            <w:bottom w:val="none" w:sz="0" w:space="0" w:color="auto"/>
            <w:right w:val="none" w:sz="0" w:space="0" w:color="auto"/>
          </w:divBdr>
        </w:div>
      </w:divsChild>
    </w:div>
    <w:div w:id="439881980">
      <w:bodyDiv w:val="1"/>
      <w:marLeft w:val="0"/>
      <w:marRight w:val="0"/>
      <w:marTop w:val="0"/>
      <w:marBottom w:val="0"/>
      <w:divBdr>
        <w:top w:val="none" w:sz="0" w:space="0" w:color="auto"/>
        <w:left w:val="none" w:sz="0" w:space="0" w:color="auto"/>
        <w:bottom w:val="none" w:sz="0" w:space="0" w:color="auto"/>
        <w:right w:val="none" w:sz="0" w:space="0" w:color="auto"/>
      </w:divBdr>
      <w:divsChild>
        <w:div w:id="1701512700">
          <w:marLeft w:val="640"/>
          <w:marRight w:val="0"/>
          <w:marTop w:val="0"/>
          <w:marBottom w:val="0"/>
          <w:divBdr>
            <w:top w:val="none" w:sz="0" w:space="0" w:color="auto"/>
            <w:left w:val="none" w:sz="0" w:space="0" w:color="auto"/>
            <w:bottom w:val="none" w:sz="0" w:space="0" w:color="auto"/>
            <w:right w:val="none" w:sz="0" w:space="0" w:color="auto"/>
          </w:divBdr>
        </w:div>
      </w:divsChild>
    </w:div>
    <w:div w:id="665285300">
      <w:bodyDiv w:val="1"/>
      <w:marLeft w:val="0"/>
      <w:marRight w:val="0"/>
      <w:marTop w:val="0"/>
      <w:marBottom w:val="0"/>
      <w:divBdr>
        <w:top w:val="none" w:sz="0" w:space="0" w:color="auto"/>
        <w:left w:val="none" w:sz="0" w:space="0" w:color="auto"/>
        <w:bottom w:val="none" w:sz="0" w:space="0" w:color="auto"/>
        <w:right w:val="none" w:sz="0" w:space="0" w:color="auto"/>
      </w:divBdr>
      <w:divsChild>
        <w:div w:id="986860644">
          <w:marLeft w:val="640"/>
          <w:marRight w:val="0"/>
          <w:marTop w:val="0"/>
          <w:marBottom w:val="0"/>
          <w:divBdr>
            <w:top w:val="none" w:sz="0" w:space="0" w:color="auto"/>
            <w:left w:val="none" w:sz="0" w:space="0" w:color="auto"/>
            <w:bottom w:val="none" w:sz="0" w:space="0" w:color="auto"/>
            <w:right w:val="none" w:sz="0" w:space="0" w:color="auto"/>
          </w:divBdr>
        </w:div>
      </w:divsChild>
    </w:div>
    <w:div w:id="882408303">
      <w:bodyDiv w:val="1"/>
      <w:marLeft w:val="0"/>
      <w:marRight w:val="0"/>
      <w:marTop w:val="0"/>
      <w:marBottom w:val="0"/>
      <w:divBdr>
        <w:top w:val="none" w:sz="0" w:space="0" w:color="auto"/>
        <w:left w:val="none" w:sz="0" w:space="0" w:color="auto"/>
        <w:bottom w:val="none" w:sz="0" w:space="0" w:color="auto"/>
        <w:right w:val="none" w:sz="0" w:space="0" w:color="auto"/>
      </w:divBdr>
      <w:divsChild>
        <w:div w:id="734738817">
          <w:marLeft w:val="640"/>
          <w:marRight w:val="0"/>
          <w:marTop w:val="0"/>
          <w:marBottom w:val="0"/>
          <w:divBdr>
            <w:top w:val="none" w:sz="0" w:space="0" w:color="auto"/>
            <w:left w:val="none" w:sz="0" w:space="0" w:color="auto"/>
            <w:bottom w:val="none" w:sz="0" w:space="0" w:color="auto"/>
            <w:right w:val="none" w:sz="0" w:space="0" w:color="auto"/>
          </w:divBdr>
        </w:div>
      </w:divsChild>
    </w:div>
    <w:div w:id="1715425272">
      <w:bodyDiv w:val="1"/>
      <w:marLeft w:val="0"/>
      <w:marRight w:val="0"/>
      <w:marTop w:val="0"/>
      <w:marBottom w:val="0"/>
      <w:divBdr>
        <w:top w:val="none" w:sz="0" w:space="0" w:color="auto"/>
        <w:left w:val="none" w:sz="0" w:space="0" w:color="auto"/>
        <w:bottom w:val="none" w:sz="0" w:space="0" w:color="auto"/>
        <w:right w:val="none" w:sz="0" w:space="0" w:color="auto"/>
      </w:divBdr>
      <w:divsChild>
        <w:div w:id="559287060">
          <w:marLeft w:val="640"/>
          <w:marRight w:val="0"/>
          <w:marTop w:val="0"/>
          <w:marBottom w:val="0"/>
          <w:divBdr>
            <w:top w:val="none" w:sz="0" w:space="0" w:color="auto"/>
            <w:left w:val="none" w:sz="0" w:space="0" w:color="auto"/>
            <w:bottom w:val="none" w:sz="0" w:space="0" w:color="auto"/>
            <w:right w:val="none" w:sz="0" w:space="0" w:color="auto"/>
          </w:divBdr>
        </w:div>
        <w:div w:id="195775636">
          <w:marLeft w:val="640"/>
          <w:marRight w:val="0"/>
          <w:marTop w:val="0"/>
          <w:marBottom w:val="0"/>
          <w:divBdr>
            <w:top w:val="none" w:sz="0" w:space="0" w:color="auto"/>
            <w:left w:val="none" w:sz="0" w:space="0" w:color="auto"/>
            <w:bottom w:val="none" w:sz="0" w:space="0" w:color="auto"/>
            <w:right w:val="none" w:sz="0" w:space="0" w:color="auto"/>
          </w:divBdr>
        </w:div>
      </w:divsChild>
    </w:div>
    <w:div w:id="1741126978">
      <w:bodyDiv w:val="1"/>
      <w:marLeft w:val="0"/>
      <w:marRight w:val="0"/>
      <w:marTop w:val="0"/>
      <w:marBottom w:val="0"/>
      <w:divBdr>
        <w:top w:val="none" w:sz="0" w:space="0" w:color="auto"/>
        <w:left w:val="none" w:sz="0" w:space="0" w:color="auto"/>
        <w:bottom w:val="none" w:sz="0" w:space="0" w:color="auto"/>
        <w:right w:val="none" w:sz="0" w:space="0" w:color="auto"/>
      </w:divBdr>
      <w:divsChild>
        <w:div w:id="127278063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F34931F-C9E2-40EC-92F1-71454D6FD34E}"/>
      </w:docPartPr>
      <w:docPartBody>
        <w:p w:rsidR="0001352A" w:rsidRDefault="004C4BF0">
          <w:r w:rsidRPr="00435A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F0"/>
    <w:rsid w:val="0001352A"/>
    <w:rsid w:val="000873C7"/>
    <w:rsid w:val="004C4BF0"/>
    <w:rsid w:val="00A16D88"/>
    <w:rsid w:val="00CB4D14"/>
    <w:rsid w:val="00D7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B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341BC3-77D3-4166-A0A5-80742AA3A66B}">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6c3ad6ac-dde3-4d76-b294-8f84f3bddfe9&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&quot;,&quot;citationItems&quot;:[{&quot;id&quot;:&quot;50a1a76d-d67d-32a0-9da0-82dd803ac1b6&quot;,&quot;itemData&quot;:{&quot;type&quot;:&quot;article-journal&quot;,&quot;id&quot;:&quot;50a1a76d-d67d-32a0-9da0-82dd803ac1b6&quot;,&quot;title&quot;:&quot;Clinical Practice Guidelines for the Diagnosis and Management of Intravascular Catheter-Related Infection: 2009 Update by the Infectious Diseases Society of America&quot;,&quot;author&quot;:[{&quot;family&quot;:&quot;Mermel&quot;,&quot;given&quot;:&quot;Leonard A&quot;,&quot;parse-names&quot;:false,&quot;dropping-particle&quot;:&quot;&quot;,&quot;non-dropping-particle&quot;:&quot;&quot;},{&quot;family&quot;:&quot;Allon&quot;,&quot;given&quot;:&quot;Michael&quot;,&quot;parse-names&quot;:false,&quot;dropping-particle&quot;:&quot;&quot;,&quot;non-dropping-particle&quot;:&quot;&quot;},{&quot;family&quot;:&quot;Bouza&quot;,&quot;given&quot;:&quot;Emilio&quot;,&quot;parse-names&quot;:false,&quot;dropping-particle&quot;:&quot;&quot;,&quot;non-dropping-particle&quot;:&quot;&quot;},{&quot;family&quot;:&quot;Craven&quot;,&quot;given&quot;:&quot;Donald E&quot;,&quot;parse-names&quot;:false,&quot;dropping-particle&quot;:&quot;&quot;,&quot;non-dropping-particle&quot;:&quot;&quot;},{&quot;family&quot;:&quot;Flynn&quot;,&quot;given&quot;:&quot;Patricia&quot;,&quot;parse-names&quot;:false,&quot;dropping-particle&quot;:&quot;&quot;,&quot;non-dropping-particle&quot;:&quot;&quot;},{&quot;family&quot;:&quot;O'Grady&quot;,&quot;given&quot;:&quot;Naomi P&quot;,&quot;parse-names&quot;:false,&quot;dropping-particle&quot;:&quot;&quot;,&quot;non-dropping-particle&quot;:&quot;&quot;},{&quot;family&quot;:&quot;Raad&quot;,&quot;given&quot;:&quot;Issam I&quot;,&quot;parse-names&quot;:false,&quot;dropping-particle&quot;:&quot;&quot;,&quot;non-dropping-particle&quot;:&quot;&quot;},{&quot;family&quot;:&quot;Rijnders&quot;,&quot;given&quot;:&quot;Bart J A&quot;,&quot;parse-names&quot;:false,&quot;dropping-particle&quot;:&quot;&quot;,&quot;non-dropping-particle&quot;:&quot;&quot;},{&quot;family&quot;:&quot;Sherertz&quot;,&quot;given&quot;:&quot;Robert J&quot;,&quot;parse-names&quot;:false,&quot;dropping-particle&quot;:&quot;&quot;,&quot;non-dropping-particle&quot;:&quot;&quot;},{&quot;family&quot;:&quot;Warren&quot;,&quot;given&quot;:&quot;David K&quot;,&quot;parse-names&quot;:false,&quot;dropping-particle&quot;:&quot;&quot;,&quot;non-dropping-particle&quot;:&quot;&quot;}],&quot;container-title&quot;:&quot;Clinical Infectious Diseases&quot;,&quot;DOI&quot;:&quot;10.1086/599376&quot;,&quot;ISSN&quot;:&quot;1058-4838&quot;,&quot;URL&quot;:&quot;https://doi.org/10.1086/599376&quot;,&quot;issued&quot;:{&quot;date-parts&quot;:[[2009,7,1]]},&quot;page&quot;:&quot;1-45&quot;,&quot;abstract&quot;:&quot;These updated guidelines replace the previous management guidelines published in 2001. The guidelines are intended for use by health care providers who care for patients who either have these infections or may be at risk for them.&quot;,&quot;issue&quot;:&quot;1&quot;,&quot;volume&quot;:&quot;49&quot;,&quot;container-title-short&quot;:&quot;&quot;},&quot;isTemporary&quot;:false}]},{&quot;citationID&quot;:&quot;MENDELEY_CITATION_f6a5c4c6-6a96-4e5a-aa88-ccfb02bde706&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&quot;,&quot;citationItems&quot;:[{&quot;id&quot;:&quot;50a1a76d-d67d-32a0-9da0-82dd803ac1b6&quot;,&quot;itemData&quot;:{&quot;type&quot;:&quot;article-journal&quot;,&quot;id&quot;:&quot;50a1a76d-d67d-32a0-9da0-82dd803ac1b6&quot;,&quot;title&quot;:&quot;Clinical Practice Guidelines for the Diagnosis and Management of Intravascular Catheter-Related Infection: 2009 Update by the Infectious Diseases Society of America&quot;,&quot;author&quot;:[{&quot;family&quot;:&quot;Mermel&quot;,&quot;given&quot;:&quot;Leonard A&quot;,&quot;parse-names&quot;:false,&quot;dropping-particle&quot;:&quot;&quot;,&quot;non-dropping-particle&quot;:&quot;&quot;},{&quot;family&quot;:&quot;Allon&quot;,&quot;given&quot;:&quot;Michael&quot;,&quot;parse-names&quot;:false,&quot;dropping-particle&quot;:&quot;&quot;,&quot;non-dropping-particle&quot;:&quot;&quot;},{&quot;family&quot;:&quot;Bouza&quot;,&quot;given&quot;:&quot;Emilio&quot;,&quot;parse-names&quot;:false,&quot;dropping-particle&quot;:&quot;&quot;,&quot;non-dropping-particle&quot;:&quot;&quot;},{&quot;family&quot;:&quot;Craven&quot;,&quot;given&quot;:&quot;Donald E&quot;,&quot;parse-names&quot;:false,&quot;dropping-particle&quot;:&quot;&quot;,&quot;non-dropping-particle&quot;:&quot;&quot;},{&quot;family&quot;:&quot;Flynn&quot;,&quot;given&quot;:&quot;Patricia&quot;,&quot;parse-names&quot;:false,&quot;dropping-particle&quot;:&quot;&quot;,&quot;non-dropping-particle&quot;:&quot;&quot;},{&quot;family&quot;:&quot;O'Grady&quot;,&quot;given&quot;:&quot;Naomi P&quot;,&quot;parse-names&quot;:false,&quot;dropping-particle&quot;:&quot;&quot;,&quot;non-dropping-particle&quot;:&quot;&quot;},{&quot;family&quot;:&quot;Raad&quot;,&quot;given&quot;:&quot;Issam I&quot;,&quot;parse-names&quot;:false,&quot;dropping-particle&quot;:&quot;&quot;,&quot;non-dropping-particle&quot;:&quot;&quot;},{&quot;family&quot;:&quot;Rijnders&quot;,&quot;given&quot;:&quot;Bart J A&quot;,&quot;parse-names&quot;:false,&quot;dropping-particle&quot;:&quot;&quot;,&quot;non-dropping-particle&quot;:&quot;&quot;},{&quot;family&quot;:&quot;Sherertz&quot;,&quot;given&quot;:&quot;Robert J&quot;,&quot;parse-names&quot;:false,&quot;dropping-particle&quot;:&quot;&quot;,&quot;non-dropping-particle&quot;:&quot;&quot;},{&quot;family&quot;:&quot;Warren&quot;,&quot;given&quot;:&quot;David K&quot;,&quot;parse-names&quot;:false,&quot;dropping-particle&quot;:&quot;&quot;,&quot;non-dropping-particle&quot;:&quot;&quot;}],&quot;container-title&quot;:&quot;Clinical Infectious Diseases&quot;,&quot;DOI&quot;:&quot;10.1086/599376&quot;,&quot;ISSN&quot;:&quot;1058-4838&quot;,&quot;URL&quot;:&quot;https://doi.org/10.1086/599376&quot;,&quot;issued&quot;:{&quot;date-parts&quot;:[[2009,7,1]]},&quot;page&quot;:&quot;1-45&quot;,&quot;abstract&quot;:&quot;These updated guidelines replace the previous management guidelines published in 2001. The guidelines are intended for use by health care providers who care for patients who either have these infections or may be at risk for them.&quot;,&quot;issue&quot;:&quot;1&quot;,&quot;volume&quot;:&quot;49&quot;,&quot;container-title-short&quot;:&quot;&quot;},&quot;isTemporary&quot;:false}]},{&quot;citationID&quot;:&quot;MENDELEY_CITATION_c84b716d-1c66-42fa-9cc1-46fd7b309b8e&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&quot;,&quot;citationItems&quot;:[{&quot;id&quot;:&quot;bb561a00-39b5-3606-a0d3-856207fe7a51&quot;,&quot;itemData&quot;:{&quot;type&quot;:&quot;article-journal&quot;,&quot;id&quot;:&quot;bb561a00-39b5-3606-a0d3-856207fe7a51&quot;,&quot;title&quot;:&quot;Antibiotic lock therapy: Review of technique and logistical challenges&quot;,&quot;author&quot;:[{&quot;family&quot;:&quot;Justo&quot;,&quot;given&quot;:&quot;Julie Ann&quot;,&quot;parse-names&quot;:false,&quot;dropping-particle&quot;:&quot;&quot;,&quot;non-dropping-particle&quot;:&quot;&quot;},{&quot;family&quot;:&quot;Bookstaver&quot;,&quot;given&quot;:&quot;P. Brandon&quot;,&quot;parse-names&quot;:false,&quot;dropping-particle&quot;:&quot;&quot;,&quot;non-dropping-particle&quot;:&quot;&quot;}],&quot;container-title&quot;:&quot;Infection and Drug Resistance&quot;,&quot;container-title-short&quot;:&quot;Infect Drug Resist&quot;,&quot;DOI&quot;:&quot;10.2147/IDR.S51388&quot;,&quot;ISSN&quot;:&quot;11786973&quot;,&quot;issued&quot;:{&quot;date-parts&quot;:[[2014]]},&quot;page&quot;:&quot;343-363&quot;,&quot;abstract&quot;:&quot;Antibiotic lock therapy (ALT) for the prevention and treatment of catheter-related bloodstream infections is a simple strategy in theory, yet its real-world application may be delayed or avoided due to technical questions and/or logistical challenges. This review focuses on these latter aspects of ALT, including preparation information for a variety of antibiotic lock solutions (ie, aminoglycosides, beta-lactams, fluoroquinolones, folate antagonists, glycopeptides, glycylcyclines, lipopeptides, oxazolidinones, polymyxins, and tetracyclines) and common clinical issues surrounding ALT administration. Detailed data regarding concentrations, additives, stability/compatibility, and dwell times are summarized. Logistical challenges such as lock preparation procedures, use of additives (eg, heparin, citrate, or ethylenediaminetetraacetic acid), timing of initiation and therapy duration, optimal dwell time and catheter accessibility, and risks of ALT are also described. Development of local protocols is recommended in order to avoid these potential barriers and encourage utilization of ALT where appropriate.&quot;,&quot;volume&quot;:&quot;7&quot;},&quot;isTemporary&quot;:false}]},{&quot;citationID&quot;:&quot;MENDELEY_CITATION_702fcae4-60ab-476c-b3e0-240c3310b417&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&quot;,&quot;citationItems&quot;:[{&quot;id&quot;:&quot;bb561a00-39b5-3606-a0d3-856207fe7a51&quot;,&quot;itemData&quot;:{&quot;type&quot;:&quot;article-journal&quot;,&quot;id&quot;:&quot;bb561a00-39b5-3606-a0d3-856207fe7a51&quot;,&quot;title&quot;:&quot;Antibiotic lock therapy: Review of technique and logistical challenges&quot;,&quot;author&quot;:[{&quot;family&quot;:&quot;Justo&quot;,&quot;given&quot;:&quot;Julie Ann&quot;,&quot;parse-names&quot;:false,&quot;dropping-particle&quot;:&quot;&quot;,&quot;non-dropping-particle&quot;:&quot;&quot;},{&quot;family&quot;:&quot;Bookstaver&quot;,&quot;given&quot;:&quot;P. Brandon&quot;,&quot;parse-names&quot;:false,&quot;dropping-particle&quot;:&quot;&quot;,&quot;non-dropping-particle&quot;:&quot;&quot;}],&quot;container-title&quot;:&quot;Infection and Drug Resistance&quot;,&quot;container-title-short&quot;:&quot;Infect Drug Resist&quot;,&quot;DOI&quot;:&quot;10.2147/IDR.S51388&quot;,&quot;ISSN&quot;:&quot;11786973&quot;,&quot;issued&quot;:{&quot;date-parts&quot;:[[2014]]},&quot;page&quot;:&quot;343-363&quot;,&quot;abstract&quot;:&quot;Antibiotic lock therapy (ALT) for the prevention and treatment of catheter-related bloodstream infections is a simple strategy in theory, yet its real-world application may be delayed or avoided due to technical questions and/or logistical challenges. This review focuses on these latter aspects of ALT, including preparation information for a variety of antibiotic lock solutions (ie, aminoglycosides, beta-lactams, fluoroquinolones, folate antagonists, glycopeptides, glycylcyclines, lipopeptides, oxazolidinones, polymyxins, and tetracyclines) and common clinical issues surrounding ALT administration. Detailed data regarding concentrations, additives, stability/compatibility, and dwell times are summarized. Logistical challenges such as lock preparation procedures, use of additives (eg, heparin, citrate, or ethylenediaminetetraacetic acid), timing of initiation and therapy duration, optimal dwell time and catheter accessibility, and risks of ALT are also described. Development of local protocols is recommended in order to avoid these potential barriers and encourage utilization of ALT where appropriate.&quot;,&quot;volume&quot;:&quot;7&quot;},&quot;isTemporary&quot;:false}]}]"/>
    <we:property name="MENDELEY_CITATIONS_STYLE" value="{&quot;id&quot;:&quot;https://www.zotero.org/styles/american-medical-association&quot;,&quot;title&quot;:&quot;American Medical Association 11th edition&quot;,&quot;format&quot;:&quot;numeric&quot;,&quot;defaultLocale&quot;:&quot;en-US&quot;,&quot;isLocaleCodeValid&quot;:true}"/>
    <we:property name="MENDELEY_CITATIONS_LOCALE_CODE" value="&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CCFD3-6752-4E33-A36C-D1B8C07B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70</cp:revision>
  <dcterms:created xsi:type="dcterms:W3CDTF">2023-06-26T12:03:00Z</dcterms:created>
  <dcterms:modified xsi:type="dcterms:W3CDTF">2024-03-26T21:14:00Z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